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7C" w:rsidRPr="008E00F3" w:rsidRDefault="00AD7843" w:rsidP="00DD316F">
      <w:pPr>
        <w:pStyle w:val="Godfrey"/>
        <w:jc w:val="center"/>
        <w:rPr>
          <w:rFonts w:asciiTheme="minorHAnsi" w:hAnsiTheme="minorHAnsi"/>
          <w:lang w:val="sk-SK"/>
        </w:rPr>
      </w:pPr>
      <w:r w:rsidRPr="008E00F3">
        <w:rPr>
          <w:rFonts w:asciiTheme="minorHAnsi" w:hAnsiTheme="minorHAnsi"/>
          <w:b/>
          <w:lang w:val="sk-SK"/>
        </w:rPr>
        <w:t>Slovník použitých termínov v Povinných štandardoch</w:t>
      </w:r>
    </w:p>
    <w:p w:rsidR="00FC407C" w:rsidRPr="008E00F3" w:rsidRDefault="00FC407C" w:rsidP="00E0678A">
      <w:pPr>
        <w:pStyle w:val="Godfrey"/>
        <w:jc w:val="both"/>
        <w:rPr>
          <w:rFonts w:asciiTheme="minorHAnsi" w:hAnsiTheme="minorHAnsi"/>
          <w:lang w:val="sk-SK"/>
        </w:rPr>
      </w:pPr>
    </w:p>
    <w:p w:rsidR="00E0678A" w:rsidRPr="008E00F3" w:rsidRDefault="00E0678A" w:rsidP="00E0678A">
      <w:pPr>
        <w:spacing w:before="120" w:after="120"/>
        <w:jc w:val="both"/>
        <w:outlineLvl w:val="1"/>
        <w:rPr>
          <w:rFonts w:asciiTheme="minorHAnsi" w:eastAsia="Times New Roman" w:hAnsiTheme="minorHAnsi"/>
          <w:bCs/>
          <w:iCs/>
          <w:lang w:val="sk-SK"/>
        </w:rPr>
      </w:pPr>
      <w:bookmarkStart w:id="0" w:name="actuary"/>
      <w:r w:rsidRPr="008E00F3">
        <w:rPr>
          <w:rStyle w:val="Hyperlink"/>
          <w:rFonts w:asciiTheme="minorHAnsi" w:hAnsiTheme="minorHAnsi"/>
          <w:b/>
          <w:u w:color="0000FF"/>
          <w:lang w:val="sk-SK"/>
        </w:rPr>
        <w:t>Aktuár</w:t>
      </w:r>
      <w:r w:rsidRPr="008E00F3">
        <w:rPr>
          <w:rFonts w:asciiTheme="minorHAnsi" w:hAnsiTheme="minorHAnsi"/>
          <w:b/>
          <w:lang w:val="sk-SK"/>
        </w:rPr>
        <w:t xml:space="preserve"> </w:t>
      </w:r>
      <w:r w:rsidRPr="008E00F3">
        <w:rPr>
          <w:rFonts w:asciiTheme="minorHAnsi" w:eastAsia="Times New Roman" w:hAnsiTheme="minorHAnsi"/>
          <w:b/>
          <w:bCs/>
          <w:iCs/>
          <w:lang w:val="sk-SK"/>
        </w:rPr>
        <w:t>(</w:t>
      </w:r>
      <w:r w:rsidR="009A2462" w:rsidRPr="008E00F3">
        <w:rPr>
          <w:rFonts w:asciiTheme="minorHAnsi" w:eastAsia="Times New Roman" w:hAnsiTheme="minorHAnsi"/>
          <w:b/>
          <w:bCs/>
          <w:iCs/>
          <w:lang w:val="sk-SK"/>
        </w:rPr>
        <w:t>PŠ</w:t>
      </w:r>
      <w:r w:rsidRPr="008E00F3">
        <w:rPr>
          <w:rFonts w:asciiTheme="minorHAnsi" w:eastAsia="Times New Roman" w:hAnsiTheme="minorHAnsi"/>
          <w:b/>
          <w:bCs/>
          <w:iCs/>
          <w:lang w:val="sk-SK"/>
        </w:rPr>
        <w:t xml:space="preserve"> 1, 2, 3)</w:t>
      </w:r>
      <w:r w:rsidRPr="008E00F3">
        <w:rPr>
          <w:rFonts w:asciiTheme="minorHAnsi" w:hAnsiTheme="minorHAnsi"/>
          <w:b/>
          <w:lang w:val="sk-SK"/>
        </w:rPr>
        <w:t xml:space="preserve"> </w:t>
      </w:r>
      <w:r w:rsidRPr="008E00F3">
        <w:rPr>
          <w:rFonts w:asciiTheme="minorHAnsi" w:hAnsiTheme="minorHAnsi"/>
          <w:lang w:val="sk-SK"/>
        </w:rPr>
        <w:t xml:space="preserve">– fyzická osoba, člen aktuárskej spoločnosti, ktorá je členskou organizáciou 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IAA</w:t>
      </w:r>
    </w:p>
    <w:p w:rsidR="008C379C" w:rsidRPr="008E00F3" w:rsidRDefault="008C379C" w:rsidP="008C379C">
      <w:pPr>
        <w:spacing w:before="120" w:after="120"/>
        <w:jc w:val="both"/>
        <w:rPr>
          <w:rFonts w:asciiTheme="minorHAnsi" w:hAnsiTheme="minorHAnsi"/>
          <w:lang w:val="sk-SK"/>
        </w:rPr>
      </w:pPr>
      <w:bookmarkStart w:id="1" w:name="Intended_User"/>
      <w:bookmarkEnd w:id="0"/>
      <w:bookmarkEnd w:id="1"/>
      <w:r w:rsidRPr="008E00F3">
        <w:rPr>
          <w:rStyle w:val="Hyperlink"/>
          <w:rFonts w:asciiTheme="minorHAnsi" w:hAnsiTheme="minorHAnsi"/>
          <w:b/>
          <w:u w:color="0000FF"/>
          <w:lang w:val="sk-SK"/>
        </w:rPr>
        <w:t>Aktuárska funkcia (AF)</w:t>
      </w:r>
      <w:r w:rsidRPr="008E00F3">
        <w:rPr>
          <w:rFonts w:asciiTheme="minorHAnsi" w:hAnsiTheme="minorHAnsi"/>
          <w:lang w:val="sk-SK"/>
        </w:rPr>
        <w:t xml:space="preserve"> </w:t>
      </w:r>
      <w:r w:rsidRPr="008E00F3">
        <w:rPr>
          <w:rFonts w:asciiTheme="minorHAnsi" w:eastAsia="Times New Roman" w:hAnsiTheme="minorHAnsi"/>
          <w:b/>
          <w:bCs/>
          <w:iCs/>
          <w:lang w:val="sk-SK"/>
        </w:rPr>
        <w:t>(PŠ 4)</w:t>
      </w:r>
      <w:r w:rsidRPr="008E00F3">
        <w:rPr>
          <w:rFonts w:asciiTheme="minorHAnsi" w:hAnsiTheme="minorHAnsi"/>
          <w:lang w:val="sk-SK"/>
        </w:rPr>
        <w:t xml:space="preserve">– administratívna kapacita na vykonávanie špecifických úloh stanovených v článku 48 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Smernice Solventnosť II</w:t>
      </w:r>
      <w:r w:rsidRPr="008E00F3">
        <w:rPr>
          <w:rFonts w:asciiTheme="minorHAnsi" w:hAnsiTheme="minorHAnsi"/>
          <w:lang w:val="sk-SK"/>
        </w:rPr>
        <w:t xml:space="preserve">. </w:t>
      </w:r>
    </w:p>
    <w:p w:rsidR="00763C18" w:rsidRPr="008E00F3" w:rsidRDefault="00763C18" w:rsidP="00763C18">
      <w:pPr>
        <w:pStyle w:val="Godfrey"/>
        <w:jc w:val="both"/>
        <w:rPr>
          <w:rFonts w:asciiTheme="minorHAnsi" w:eastAsia="Times New Roman" w:hAnsiTheme="minorHAnsi"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  <w:lang w:val="sk-SK"/>
        </w:rPr>
        <w:t>Aktuárske služby</w:t>
      </w:r>
      <w:r w:rsidRPr="008E00F3">
        <w:rPr>
          <w:rFonts w:asciiTheme="minorHAnsi" w:hAnsiTheme="minorHAnsi"/>
          <w:b/>
          <w:lang w:val="sk-SK"/>
        </w:rPr>
        <w:t xml:space="preserve"> </w:t>
      </w:r>
      <w:r w:rsidRPr="008E00F3">
        <w:rPr>
          <w:rFonts w:asciiTheme="minorHAnsi" w:eastAsia="Times New Roman" w:hAnsiTheme="minorHAnsi"/>
          <w:b/>
          <w:lang w:val="sk-SK"/>
        </w:rPr>
        <w:t xml:space="preserve">(PŠ 1, 2, 3) </w:t>
      </w:r>
      <w:r w:rsidRPr="008E00F3">
        <w:rPr>
          <w:rFonts w:asciiTheme="minorHAnsi" w:hAnsiTheme="minorHAnsi"/>
          <w:b/>
          <w:lang w:val="sk-SK"/>
        </w:rPr>
        <w:t xml:space="preserve">– </w:t>
      </w:r>
      <w:r w:rsidRPr="008E00F3">
        <w:rPr>
          <w:rFonts w:asciiTheme="minorHAnsi" w:hAnsiTheme="minorHAnsi"/>
          <w:lang w:val="sk-SK"/>
        </w:rPr>
        <w:t xml:space="preserve">služby spadajúce do aktuárskej oblasti poskytované 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určenému užívateľovi</w:t>
      </w:r>
      <w:r w:rsidRPr="008E00F3">
        <w:rPr>
          <w:rFonts w:asciiTheme="minorHAnsi" w:hAnsiTheme="minorHAnsi"/>
          <w:lang w:val="sk-SK"/>
        </w:rPr>
        <w:t xml:space="preserve"> a môžu obsahovať poradenstvo, odporúčanie,</w:t>
      </w:r>
      <w:r w:rsidR="00CA28DC" w:rsidRPr="008E00F3">
        <w:rPr>
          <w:rFonts w:asciiTheme="minorHAnsi" w:hAnsiTheme="minorHAnsi"/>
          <w:lang w:val="sk-SK"/>
        </w:rPr>
        <w:t xml:space="preserve"> názor</w:t>
      </w:r>
      <w:r w:rsidRPr="008E00F3">
        <w:rPr>
          <w:rFonts w:asciiTheme="minorHAnsi" w:hAnsiTheme="minorHAnsi"/>
          <w:lang w:val="sk-SK"/>
        </w:rPr>
        <w:t xml:space="preserve"> alebo 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správu</w:t>
      </w:r>
    </w:p>
    <w:p w:rsidR="008C379C" w:rsidRPr="008E00F3" w:rsidRDefault="008C379C" w:rsidP="008C379C">
      <w:pPr>
        <w:spacing w:before="120" w:after="120"/>
        <w:jc w:val="both"/>
        <w:rPr>
          <w:rFonts w:asciiTheme="minorHAnsi" w:hAnsiTheme="minorHAnsi"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  <w:lang w:val="sk-SK"/>
        </w:rPr>
        <w:t>AMSB</w:t>
      </w:r>
      <w:r w:rsidRPr="008E00F3">
        <w:rPr>
          <w:rFonts w:asciiTheme="minorHAnsi" w:hAnsiTheme="minorHAnsi"/>
          <w:lang w:val="sk-SK"/>
        </w:rPr>
        <w:t xml:space="preserve"> </w:t>
      </w:r>
      <w:r w:rsidR="003C3AD6" w:rsidRPr="008E00F3">
        <w:rPr>
          <w:rFonts w:asciiTheme="minorHAnsi" w:eastAsia="Times New Roman" w:hAnsiTheme="minorHAnsi"/>
          <w:b/>
          <w:bCs/>
          <w:iCs/>
          <w:lang w:val="sk-SK"/>
        </w:rPr>
        <w:t xml:space="preserve">(PŠ 4) </w:t>
      </w:r>
      <w:r w:rsidRPr="008E00F3">
        <w:rPr>
          <w:rFonts w:asciiTheme="minorHAnsi" w:hAnsiTheme="minorHAnsi"/>
          <w:lang w:val="sk-SK"/>
        </w:rPr>
        <w:t>–  administratívny, riadiaci a dozorný orgán</w:t>
      </w:r>
      <w:r w:rsidR="00740010" w:rsidRPr="008E00F3">
        <w:rPr>
          <w:rFonts w:asciiTheme="minorHAnsi" w:hAnsiTheme="minorHAnsi"/>
          <w:lang w:val="sk-SK"/>
        </w:rPr>
        <w:t>. Tento pojem bol do slovenského právneho poriadku implementovaný ako predstaven</w:t>
      </w:r>
      <w:r w:rsidR="00CA28DC" w:rsidRPr="008E00F3">
        <w:rPr>
          <w:rFonts w:asciiTheme="minorHAnsi" w:hAnsiTheme="minorHAnsi"/>
          <w:lang w:val="sk-SK"/>
        </w:rPr>
        <w:t>stvo, výnimočne aj dozorná rada</w:t>
      </w:r>
    </w:p>
    <w:p w:rsidR="00CA28DC" w:rsidRPr="008E00F3" w:rsidRDefault="00DD02C3" w:rsidP="008C379C">
      <w:pPr>
        <w:spacing w:before="120" w:after="120"/>
        <w:jc w:val="both"/>
        <w:rPr>
          <w:rStyle w:val="Hyperlink"/>
          <w:rFonts w:asciiTheme="minorHAnsi" w:hAnsiTheme="minorHAnsi"/>
          <w:b/>
          <w:u w:color="0000FF"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  <w:lang w:val="sk-SK"/>
        </w:rPr>
        <w:t>Back testing</w:t>
      </w:r>
      <w:r w:rsidRPr="008E00F3">
        <w:rPr>
          <w:rFonts w:asciiTheme="minorHAnsi" w:hAnsiTheme="minorHAnsi"/>
          <w:lang w:val="sk-SK"/>
        </w:rPr>
        <w:t xml:space="preserve"> </w:t>
      </w:r>
      <w:r w:rsidRPr="008E00F3">
        <w:rPr>
          <w:rFonts w:asciiTheme="minorHAnsi" w:eastAsia="Times New Roman" w:hAnsiTheme="minorHAnsi"/>
          <w:b/>
          <w:bCs/>
          <w:iCs/>
          <w:lang w:val="sk-SK"/>
        </w:rPr>
        <w:t xml:space="preserve">(PŠ 2) – </w:t>
      </w:r>
      <w:r w:rsidRPr="008E00F3">
        <w:rPr>
          <w:rFonts w:asciiTheme="minorHAnsi" w:eastAsia="Times New Roman" w:hAnsiTheme="minorHAnsi"/>
          <w:bCs/>
          <w:iCs/>
          <w:lang w:val="sk-SK"/>
        </w:rPr>
        <w:t>porovnanie projekcie finančných tokov so sk</w:t>
      </w:r>
      <w:r w:rsidR="00CA28DC" w:rsidRPr="008E00F3">
        <w:rPr>
          <w:rFonts w:asciiTheme="minorHAnsi" w:eastAsia="Times New Roman" w:hAnsiTheme="minorHAnsi"/>
          <w:bCs/>
          <w:iCs/>
          <w:lang w:val="sk-SK"/>
        </w:rPr>
        <w:t>úsenosťami za minulé</w:t>
      </w:r>
      <w:r w:rsidRPr="008E00F3">
        <w:rPr>
          <w:rFonts w:asciiTheme="minorHAnsi" w:eastAsia="Times New Roman" w:hAnsiTheme="minorHAnsi"/>
          <w:bCs/>
          <w:iCs/>
          <w:lang w:val="sk-SK"/>
        </w:rPr>
        <w:t xml:space="preserve"> obdobie a vyčíslenie odchýlky a uvedenie dôvodov je vzniku</w:t>
      </w:r>
      <w:r w:rsidRPr="008E00F3">
        <w:rPr>
          <w:rStyle w:val="Hyperlink"/>
          <w:rFonts w:asciiTheme="minorHAnsi" w:hAnsiTheme="minorHAnsi"/>
          <w:b/>
          <w:u w:color="0000FF"/>
          <w:lang w:val="sk-SK"/>
        </w:rPr>
        <w:t xml:space="preserve"> </w:t>
      </w:r>
    </w:p>
    <w:p w:rsidR="008C379C" w:rsidRPr="008E00F3" w:rsidRDefault="008C379C" w:rsidP="008C379C">
      <w:pPr>
        <w:spacing w:before="120" w:after="120"/>
        <w:jc w:val="both"/>
        <w:rPr>
          <w:rFonts w:asciiTheme="minorHAnsi" w:hAnsiTheme="minorHAnsi"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  <w:lang w:val="sk-SK"/>
        </w:rPr>
        <w:t>Konflikt záujmov</w:t>
      </w:r>
      <w:r w:rsidRPr="008E00F3">
        <w:rPr>
          <w:rFonts w:asciiTheme="minorHAnsi" w:hAnsiTheme="minorHAnsi"/>
          <w:lang w:val="sk-SK"/>
        </w:rPr>
        <w:t xml:space="preserve"> </w:t>
      </w:r>
      <w:r w:rsidR="003C3AD6" w:rsidRPr="008E00F3">
        <w:rPr>
          <w:rFonts w:asciiTheme="minorHAnsi" w:eastAsia="Times New Roman" w:hAnsiTheme="minorHAnsi"/>
          <w:b/>
          <w:bCs/>
          <w:iCs/>
          <w:lang w:val="sk-SK"/>
        </w:rPr>
        <w:t xml:space="preserve">(PŠ 4) </w:t>
      </w:r>
      <w:r w:rsidRPr="008E00F3">
        <w:rPr>
          <w:rFonts w:asciiTheme="minorHAnsi" w:hAnsiTheme="minorHAnsi"/>
          <w:lang w:val="sk-SK"/>
        </w:rPr>
        <w:t>– nastáva, ak má jednotlivec alebo organizácia viacero záujmov, pričom jeden z nich by mohol narúšať motiváciu konať v prospech druhého, alebo by výsledkom bola práca, ktor</w:t>
      </w:r>
      <w:r w:rsidR="00CA28DC" w:rsidRPr="008E00F3">
        <w:rPr>
          <w:rFonts w:asciiTheme="minorHAnsi" w:hAnsiTheme="minorHAnsi"/>
          <w:lang w:val="sk-SK"/>
        </w:rPr>
        <w:t>á nie je objektívna a nestranná</w:t>
      </w:r>
      <w:r w:rsidRPr="008E00F3">
        <w:rPr>
          <w:rFonts w:asciiTheme="minorHAnsi" w:hAnsiTheme="minorHAnsi"/>
          <w:lang w:val="sk-SK"/>
        </w:rPr>
        <w:t xml:space="preserve"> a</w:t>
      </w:r>
      <w:r w:rsidR="00CA28DC" w:rsidRPr="008E00F3">
        <w:rPr>
          <w:rFonts w:asciiTheme="minorHAnsi" w:hAnsiTheme="minorHAnsi"/>
          <w:lang w:val="sk-SK"/>
        </w:rPr>
        <w:t>lebo nie je za takú považovaná.</w:t>
      </w:r>
    </w:p>
    <w:p w:rsidR="00DD02C3" w:rsidRPr="008E00F3" w:rsidRDefault="00DD02C3" w:rsidP="00DD02C3">
      <w:pPr>
        <w:spacing w:before="120" w:after="120"/>
        <w:jc w:val="both"/>
        <w:rPr>
          <w:rFonts w:asciiTheme="minorHAnsi" w:hAnsiTheme="minorHAnsi"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  <w:lang w:val="sk-SK"/>
        </w:rPr>
        <w:t>Dátum ocenenia</w:t>
      </w:r>
      <w:r w:rsidRPr="008E00F3">
        <w:rPr>
          <w:rFonts w:asciiTheme="minorHAnsi" w:hAnsiTheme="minorHAnsi"/>
          <w:b/>
          <w:lang w:val="sk-SK"/>
        </w:rPr>
        <w:t xml:space="preserve"> </w:t>
      </w:r>
      <w:r w:rsidRPr="008E00F3">
        <w:rPr>
          <w:rFonts w:asciiTheme="minorHAnsi" w:eastAsia="Times New Roman" w:hAnsiTheme="minorHAnsi"/>
          <w:b/>
          <w:lang w:val="sk-SK"/>
        </w:rPr>
        <w:t>(PŠ 2, 3)</w:t>
      </w:r>
      <w:r w:rsidRPr="008E00F3">
        <w:rPr>
          <w:rFonts w:asciiTheme="minorHAnsi" w:hAnsiTheme="minorHAnsi"/>
          <w:b/>
          <w:lang w:val="sk-SK"/>
        </w:rPr>
        <w:t xml:space="preserve"> – </w:t>
      </w:r>
      <w:r w:rsidR="00CA28DC" w:rsidRPr="008E00F3">
        <w:rPr>
          <w:rFonts w:asciiTheme="minorHAnsi" w:hAnsiTheme="minorHAnsi"/>
          <w:lang w:val="sk-SK"/>
        </w:rPr>
        <w:t>d</w:t>
      </w:r>
      <w:r w:rsidRPr="008E00F3">
        <w:rPr>
          <w:rFonts w:asciiTheme="minorHAnsi" w:hAnsiTheme="minorHAnsi"/>
          <w:lang w:val="sk-SK"/>
        </w:rPr>
        <w:t>átum, ku ktorému je vykázaná hodnota aktív alebo pasív, bez ohľadu na to, či ich hodnota bola stanovená k inému dátumu a spätne alebo do</w:t>
      </w:r>
      <w:r w:rsidR="00CA28DC" w:rsidRPr="008E00F3">
        <w:rPr>
          <w:rFonts w:asciiTheme="minorHAnsi" w:hAnsiTheme="minorHAnsi"/>
          <w:lang w:val="sk-SK"/>
        </w:rPr>
        <w:t>predu prevedená k tomuto dátumu</w:t>
      </w:r>
    </w:p>
    <w:p w:rsidR="00763C18" w:rsidRPr="008E00F3" w:rsidRDefault="00763C18" w:rsidP="00763C18">
      <w:pPr>
        <w:pStyle w:val="Godfrey"/>
        <w:jc w:val="both"/>
        <w:rPr>
          <w:rFonts w:asciiTheme="minorHAnsi" w:hAnsiTheme="minorHAnsi"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  <w:lang w:val="sk-SK"/>
        </w:rPr>
        <w:t>Dátum prijatia</w:t>
      </w:r>
      <w:r w:rsidRPr="008E00F3">
        <w:rPr>
          <w:rFonts w:asciiTheme="minorHAnsi" w:hAnsiTheme="minorHAnsi"/>
          <w:b/>
          <w:lang w:val="sk-SK"/>
        </w:rPr>
        <w:t xml:space="preserve"> (PŠ 1) </w:t>
      </w:r>
      <w:r w:rsidRPr="008E00F3">
        <w:rPr>
          <w:rFonts w:asciiTheme="minorHAnsi" w:hAnsiTheme="minorHAnsi"/>
          <w:lang w:val="sk-SK"/>
        </w:rPr>
        <w:t>– dátum, kedy bol tento štandard prijatý Valným zhromaždením SSA</w:t>
      </w:r>
    </w:p>
    <w:p w:rsidR="00CA28DC" w:rsidRPr="008E00F3" w:rsidRDefault="00DD02C3" w:rsidP="008C379C">
      <w:pPr>
        <w:spacing w:before="120" w:after="120"/>
        <w:jc w:val="both"/>
        <w:rPr>
          <w:rFonts w:asciiTheme="minorHAnsi" w:eastAsia="Times New Roman" w:hAnsiTheme="minorHAnsi"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  <w:lang w:val="sk-SK"/>
        </w:rPr>
        <w:t>Dátum vypracovania správy</w:t>
      </w:r>
      <w:r w:rsidRPr="008E00F3">
        <w:rPr>
          <w:rFonts w:asciiTheme="minorHAnsi" w:eastAsia="Times New Roman" w:hAnsiTheme="minorHAnsi"/>
          <w:b/>
          <w:lang w:val="sk-SK"/>
        </w:rPr>
        <w:t xml:space="preserve"> (PŠ 2) – </w:t>
      </w:r>
      <w:r w:rsidR="00CA28DC" w:rsidRPr="008E00F3">
        <w:rPr>
          <w:rFonts w:asciiTheme="minorHAnsi" w:eastAsia="Times New Roman" w:hAnsiTheme="minorHAnsi"/>
          <w:lang w:val="sk-SK"/>
        </w:rPr>
        <w:t>d</w:t>
      </w:r>
      <w:r w:rsidRPr="008E00F3">
        <w:rPr>
          <w:rFonts w:asciiTheme="minorHAnsi" w:eastAsia="Times New Roman" w:hAnsiTheme="minorHAnsi"/>
          <w:lang w:val="sk-SK"/>
        </w:rPr>
        <w:t xml:space="preserve">átum, ku ktorému 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aktuár</w:t>
      </w:r>
      <w:r w:rsidRPr="008E00F3">
        <w:rPr>
          <w:rFonts w:asciiTheme="minorHAnsi" w:eastAsia="Times New Roman" w:hAnsiTheme="minorHAnsi"/>
          <w:lang w:val="sk-SK"/>
        </w:rPr>
        <w:t xml:space="preserve"> predkladá 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správu</w:t>
      </w:r>
      <w:r w:rsidRPr="008E00F3">
        <w:rPr>
          <w:rFonts w:asciiTheme="minorHAnsi" w:eastAsia="Times New Roman" w:hAnsiTheme="minorHAnsi"/>
          <w:lang w:val="sk-SK"/>
        </w:rPr>
        <w:t xml:space="preserve"> 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určenému užívateľovi</w:t>
      </w:r>
      <w:r w:rsidR="00CA28DC" w:rsidRPr="008E00F3">
        <w:rPr>
          <w:rFonts w:asciiTheme="minorHAnsi" w:eastAsia="Times New Roman" w:hAnsiTheme="minorHAnsi"/>
          <w:lang w:val="sk-SK"/>
        </w:rPr>
        <w:t>, z</w:t>
      </w:r>
      <w:r w:rsidRPr="008E00F3">
        <w:rPr>
          <w:rFonts w:asciiTheme="minorHAnsi" w:eastAsia="Times New Roman" w:hAnsiTheme="minorHAnsi"/>
          <w:lang w:val="sk-SK"/>
        </w:rPr>
        <w:t xml:space="preserve">vyčajne nasleduje po 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dátume ocenenia</w:t>
      </w:r>
    </w:p>
    <w:p w:rsidR="008C379C" w:rsidRPr="008E00F3" w:rsidRDefault="008C379C" w:rsidP="008C379C">
      <w:pPr>
        <w:spacing w:before="120" w:after="120"/>
        <w:jc w:val="both"/>
        <w:rPr>
          <w:rFonts w:asciiTheme="minorHAnsi" w:hAnsiTheme="minorHAnsi"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  <w:lang w:val="sk-SK"/>
        </w:rPr>
        <w:t>Model</w:t>
      </w:r>
      <w:r w:rsidRPr="008E00F3">
        <w:rPr>
          <w:rFonts w:asciiTheme="minorHAnsi" w:hAnsiTheme="minorHAnsi"/>
          <w:lang w:val="sk-SK"/>
        </w:rPr>
        <w:t xml:space="preserve"> </w:t>
      </w:r>
      <w:r w:rsidR="003C3AD6" w:rsidRPr="008E00F3">
        <w:rPr>
          <w:rFonts w:asciiTheme="minorHAnsi" w:eastAsia="Times New Roman" w:hAnsiTheme="minorHAnsi"/>
          <w:b/>
          <w:bCs/>
          <w:iCs/>
          <w:lang w:val="sk-SK"/>
        </w:rPr>
        <w:t xml:space="preserve">(PŠ 4) </w:t>
      </w:r>
      <w:r w:rsidRPr="008E00F3">
        <w:rPr>
          <w:rFonts w:asciiTheme="minorHAnsi" w:hAnsiTheme="minorHAnsi"/>
          <w:lang w:val="sk-SK"/>
        </w:rPr>
        <w:t>– zjednodušené stvárnenie určitého aspektu sveta. Model je definovan</w:t>
      </w:r>
      <w:r w:rsidR="00CA28DC" w:rsidRPr="008E00F3">
        <w:rPr>
          <w:rFonts w:asciiTheme="minorHAnsi" w:hAnsiTheme="minorHAnsi"/>
          <w:lang w:val="sk-SK"/>
        </w:rPr>
        <w:t>ý špecifikáciou, ktorá popisuje</w:t>
      </w:r>
      <w:r w:rsidRPr="008E00F3">
        <w:rPr>
          <w:rFonts w:asciiTheme="minorHAnsi" w:hAnsiTheme="minorHAnsi"/>
          <w:lang w:val="sk-SK"/>
        </w:rPr>
        <w:t xml:space="preserve"> čo má byť stvárnené a vstupné dáta a vzťahy medzi nimi, implementovaný cez súbor matematických vzorcov a algoritmov a realizovaný použitím implementácie na získanie súboru výstupných dát zo vstupných dát vo forme 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údajov</w:t>
      </w:r>
      <w:r w:rsidRPr="008E00F3">
        <w:rPr>
          <w:rFonts w:asciiTheme="minorHAnsi" w:hAnsiTheme="minorHAnsi"/>
          <w:lang w:val="sk-SK"/>
        </w:rPr>
        <w:t xml:space="preserve"> a predpokladov, ktorý zvyčajne obsahuje úsudok 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aktuára</w:t>
      </w:r>
    </w:p>
    <w:p w:rsidR="00763C18" w:rsidRPr="008E00F3" w:rsidRDefault="00763C18" w:rsidP="00763C18">
      <w:pPr>
        <w:pStyle w:val="ISAP"/>
        <w:jc w:val="both"/>
        <w:rPr>
          <w:rFonts w:asciiTheme="minorHAnsi" w:hAnsiTheme="minorHAnsi"/>
          <w:lang w:val="sk-SK"/>
        </w:rPr>
      </w:pPr>
      <w:bookmarkStart w:id="2" w:name="Subsequent_Event"/>
      <w:r w:rsidRPr="008E00F3">
        <w:rPr>
          <w:rStyle w:val="Hyperlink"/>
          <w:rFonts w:asciiTheme="minorHAnsi" w:hAnsiTheme="minorHAnsi"/>
          <w:b/>
          <w:szCs w:val="24"/>
          <w:u w:color="0000FF"/>
          <w:lang w:val="sk-SK"/>
        </w:rPr>
        <w:t>Finančná analýza</w:t>
      </w:r>
      <w:r w:rsidRPr="008E00F3">
        <w:rPr>
          <w:rFonts w:asciiTheme="minorHAnsi" w:hAnsiTheme="minorHAnsi"/>
          <w:b/>
          <w:lang w:val="sk-SK"/>
        </w:rPr>
        <w:t xml:space="preserve"> (PŠ 2)</w:t>
      </w:r>
      <w:r w:rsidR="00CA28DC" w:rsidRPr="008E00F3">
        <w:rPr>
          <w:rFonts w:asciiTheme="minorHAnsi" w:hAnsiTheme="minorHAnsi"/>
          <w:lang w:val="sk-SK"/>
        </w:rPr>
        <w:t xml:space="preserve"> – a</w:t>
      </w:r>
      <w:r w:rsidRPr="008E00F3">
        <w:rPr>
          <w:rFonts w:asciiTheme="minorHAnsi" w:hAnsiTheme="minorHAnsi"/>
          <w:lang w:val="sk-SK"/>
        </w:rPr>
        <w:t xml:space="preserve">kákoľvek formálna aktuárska analýza. Je na úsudku </w:t>
      </w:r>
      <w:r w:rsidRPr="008E00F3">
        <w:rPr>
          <w:rStyle w:val="Hyperlink"/>
          <w:rFonts w:asciiTheme="minorHAnsi" w:hAnsiTheme="minorHAnsi"/>
          <w:szCs w:val="24"/>
          <w:u w:color="0000FF"/>
          <w:lang w:val="sk-SK"/>
        </w:rPr>
        <w:t>aktuára</w:t>
      </w:r>
      <w:r w:rsidRPr="008E00F3">
        <w:rPr>
          <w:rFonts w:asciiTheme="minorHAnsi" w:hAnsiTheme="minorHAnsi"/>
          <w:lang w:val="sk-SK"/>
        </w:rPr>
        <w:t xml:space="preserve"> čo predstavuje formálnu aktuársku analýzu, ale môže to prestavovať prácu</w:t>
      </w:r>
      <w:r w:rsidR="00CA28DC" w:rsidRPr="008E00F3">
        <w:rPr>
          <w:rFonts w:asciiTheme="minorHAnsi" w:hAnsiTheme="minorHAnsi"/>
          <w:lang w:val="sk-SK"/>
        </w:rPr>
        <w:t>,</w:t>
      </w:r>
      <w:r w:rsidRPr="008E00F3">
        <w:rPr>
          <w:rFonts w:asciiTheme="minorHAnsi" w:hAnsiTheme="minorHAnsi"/>
          <w:lang w:val="sk-SK"/>
        </w:rPr>
        <w:t xml:space="preserve"> ktorú požaduje </w:t>
      </w:r>
      <w:r w:rsidRPr="008E00F3">
        <w:rPr>
          <w:rStyle w:val="Hyperlink"/>
          <w:rFonts w:asciiTheme="minorHAnsi" w:hAnsiTheme="minorHAnsi"/>
          <w:szCs w:val="24"/>
          <w:u w:color="0000FF"/>
          <w:lang w:val="sk-SK"/>
        </w:rPr>
        <w:t>zákon</w:t>
      </w:r>
      <w:r w:rsidRPr="008E00F3">
        <w:rPr>
          <w:rFonts w:asciiTheme="minorHAnsi" w:hAnsiTheme="minorHAnsi"/>
          <w:lang w:val="sk-SK"/>
        </w:rPr>
        <w:t xml:space="preserve"> a</w:t>
      </w:r>
      <w:r w:rsidR="00CA28DC" w:rsidRPr="008E00F3">
        <w:rPr>
          <w:rFonts w:asciiTheme="minorHAnsi" w:hAnsiTheme="minorHAnsi"/>
          <w:lang w:val="sk-SK"/>
        </w:rPr>
        <w:t> </w:t>
      </w:r>
      <w:r w:rsidRPr="008E00F3">
        <w:rPr>
          <w:rFonts w:asciiTheme="minorHAnsi" w:hAnsiTheme="minorHAnsi"/>
          <w:lang w:val="sk-SK"/>
        </w:rPr>
        <w:t>prácu</w:t>
      </w:r>
      <w:r w:rsidR="00CA28DC" w:rsidRPr="008E00F3">
        <w:rPr>
          <w:rFonts w:asciiTheme="minorHAnsi" w:hAnsiTheme="minorHAnsi"/>
          <w:lang w:val="sk-SK"/>
        </w:rPr>
        <w:t>,</w:t>
      </w:r>
      <w:r w:rsidRPr="008E00F3">
        <w:rPr>
          <w:rFonts w:asciiTheme="minorHAnsi" w:hAnsiTheme="minorHAnsi"/>
          <w:lang w:val="sk-SK"/>
        </w:rPr>
        <w:t xml:space="preserve"> ktorú požaduje </w:t>
      </w:r>
      <w:r w:rsidRPr="008E00F3">
        <w:rPr>
          <w:rStyle w:val="Hyperlink"/>
          <w:rFonts w:asciiTheme="minorHAnsi" w:hAnsiTheme="minorHAnsi"/>
          <w:szCs w:val="24"/>
          <w:u w:color="0000FF"/>
        </w:rPr>
        <w:t>zadávateľ</w:t>
      </w:r>
      <w:r w:rsidRPr="008E00F3">
        <w:rPr>
          <w:rFonts w:asciiTheme="minorHAnsi" w:hAnsiTheme="minorHAnsi"/>
          <w:lang w:val="sk-SK"/>
        </w:rPr>
        <w:t>, aby mohol urobiť rozhodnutie na základe dodaných informácií. Finančná analýza môže okrem iného zahŕňať nasledovné:</w:t>
      </w:r>
    </w:p>
    <w:p w:rsidR="00763C18" w:rsidRPr="008E00F3" w:rsidRDefault="00763C18" w:rsidP="00763C18">
      <w:pPr>
        <w:pStyle w:val="ISAP"/>
        <w:numPr>
          <w:ilvl w:val="0"/>
          <w:numId w:val="15"/>
        </w:numPr>
        <w:jc w:val="both"/>
        <w:rPr>
          <w:rFonts w:asciiTheme="minorHAnsi" w:hAnsiTheme="minorHAnsi"/>
          <w:lang w:val="sk-SK"/>
        </w:rPr>
      </w:pPr>
      <w:r w:rsidRPr="008E00F3">
        <w:rPr>
          <w:rFonts w:asciiTheme="minorHAnsi" w:hAnsiTheme="minorHAnsi"/>
          <w:lang w:val="sk-SK"/>
        </w:rPr>
        <w:t>určenie diskontovaných hodnôt v stanovenom čase</w:t>
      </w:r>
      <w:r w:rsidR="00CA28DC" w:rsidRPr="008E00F3">
        <w:rPr>
          <w:rFonts w:asciiTheme="minorHAnsi" w:hAnsiTheme="minorHAnsi"/>
          <w:lang w:val="sk-SK"/>
        </w:rPr>
        <w:t>,</w:t>
      </w:r>
    </w:p>
    <w:p w:rsidR="00763C18" w:rsidRPr="008E00F3" w:rsidRDefault="00763C18" w:rsidP="00763C18">
      <w:pPr>
        <w:pStyle w:val="ISAP"/>
        <w:numPr>
          <w:ilvl w:val="0"/>
          <w:numId w:val="15"/>
        </w:numPr>
        <w:jc w:val="both"/>
        <w:rPr>
          <w:rFonts w:asciiTheme="minorHAnsi" w:hAnsiTheme="minorHAnsi"/>
          <w:lang w:val="sk-SK"/>
        </w:rPr>
      </w:pPr>
      <w:r w:rsidRPr="008E00F3">
        <w:rPr>
          <w:rFonts w:asciiTheme="minorHAnsi" w:hAnsiTheme="minorHAnsi"/>
          <w:lang w:val="sk-SK"/>
        </w:rPr>
        <w:t>projekciu finančných tokov a súvisiacich hodnôt fondov a</w:t>
      </w:r>
    </w:p>
    <w:p w:rsidR="00763C18" w:rsidRPr="008E00F3" w:rsidRDefault="00763C18" w:rsidP="00763C18">
      <w:pPr>
        <w:pStyle w:val="ISAP"/>
        <w:numPr>
          <w:ilvl w:val="0"/>
          <w:numId w:val="15"/>
        </w:numPr>
        <w:jc w:val="both"/>
        <w:rPr>
          <w:rFonts w:asciiTheme="minorHAnsi" w:hAnsiTheme="minorHAnsi"/>
          <w:lang w:val="sk-SK"/>
        </w:rPr>
      </w:pPr>
      <w:r w:rsidRPr="008E00F3">
        <w:rPr>
          <w:rFonts w:asciiTheme="minorHAnsi" w:hAnsiTheme="minorHAnsi"/>
          <w:lang w:val="sk-SK"/>
        </w:rPr>
        <w:t>určenie výšky príspevkov v budúcnosti.</w:t>
      </w:r>
    </w:p>
    <w:p w:rsidR="00763C18" w:rsidRPr="008E00F3" w:rsidRDefault="00763C18" w:rsidP="00763C18">
      <w:pPr>
        <w:pStyle w:val="ISAP"/>
        <w:jc w:val="both"/>
        <w:rPr>
          <w:rFonts w:asciiTheme="minorHAnsi" w:hAnsiTheme="minorHAnsi"/>
          <w:b/>
          <w:lang w:val="sk-SK"/>
        </w:rPr>
      </w:pPr>
      <w:r w:rsidRPr="008E00F3">
        <w:rPr>
          <w:rStyle w:val="Hyperlink"/>
          <w:rFonts w:asciiTheme="minorHAnsi" w:hAnsiTheme="minorHAnsi"/>
          <w:b/>
          <w:szCs w:val="24"/>
          <w:u w:color="0000FF"/>
          <w:lang w:val="sk-SK"/>
        </w:rPr>
        <w:lastRenderedPageBreak/>
        <w:t>IAA</w:t>
      </w:r>
      <w:r w:rsidRPr="008E00F3">
        <w:rPr>
          <w:rFonts w:asciiTheme="minorHAnsi" w:hAnsiTheme="minorHAnsi"/>
          <w:b/>
          <w:lang w:val="sk-SK"/>
        </w:rPr>
        <w:t xml:space="preserve"> (PŠ 1, 2, 3) – International Actuarial Association (</w:t>
      </w:r>
      <w:r w:rsidRPr="008E00F3">
        <w:rPr>
          <w:rFonts w:asciiTheme="minorHAnsi" w:hAnsiTheme="minorHAnsi"/>
          <w:lang w:val="sk-SK"/>
        </w:rPr>
        <w:t>Medzinárodná spoločnosť aktuárov)</w:t>
      </w:r>
    </w:p>
    <w:p w:rsidR="00763C18" w:rsidRPr="008E00F3" w:rsidRDefault="00763C18" w:rsidP="00763C18">
      <w:pPr>
        <w:jc w:val="both"/>
        <w:rPr>
          <w:rFonts w:asciiTheme="minorHAnsi" w:hAnsiTheme="minorHAnsi"/>
          <w:b/>
          <w:i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  <w:lang w:val="sk-SK"/>
        </w:rPr>
        <w:t>IAS 19</w:t>
      </w:r>
      <w:r w:rsidRPr="008E00F3">
        <w:rPr>
          <w:rFonts w:asciiTheme="minorHAnsi" w:hAnsiTheme="minorHAnsi"/>
          <w:b/>
          <w:lang w:val="sk-SK"/>
        </w:rPr>
        <w:t xml:space="preserve"> (PŠ 3) – </w:t>
      </w:r>
      <w:r w:rsidR="005B070C" w:rsidRPr="008E00F3">
        <w:rPr>
          <w:rFonts w:asciiTheme="minorHAnsi" w:hAnsiTheme="minorHAnsi"/>
          <w:lang w:val="sk-SK"/>
        </w:rPr>
        <w:t>m</w:t>
      </w:r>
      <w:r w:rsidRPr="008E00F3">
        <w:rPr>
          <w:rFonts w:asciiTheme="minorHAnsi" w:hAnsiTheme="minorHAnsi"/>
          <w:lang w:val="sk-SK"/>
        </w:rPr>
        <w:t xml:space="preserve">edzinárodný účtovný štandard </w:t>
      </w:r>
      <w:r w:rsidRPr="008E00F3">
        <w:rPr>
          <w:rFonts w:asciiTheme="minorHAnsi" w:hAnsiTheme="minorHAnsi"/>
          <w:i/>
          <w:lang w:val="sk-SK"/>
        </w:rPr>
        <w:t>19 Zamestnanecké pôžitky</w:t>
      </w:r>
      <w:r w:rsidRPr="008E00F3">
        <w:rPr>
          <w:rFonts w:asciiTheme="minorHAnsi" w:hAnsiTheme="minorHAnsi"/>
          <w:lang w:val="sk-SK"/>
        </w:rPr>
        <w:t xml:space="preserve">, vrátane akýchkoľvek interpretácií vydaných počas Septembra 2014 </w:t>
      </w:r>
      <w:r w:rsidRPr="008E00F3">
        <w:rPr>
          <w:rFonts w:asciiTheme="minorHAnsi" w:hAnsiTheme="minorHAnsi"/>
          <w:i/>
          <w:lang w:val="sk-SK"/>
        </w:rPr>
        <w:t>Výborom pre interpretáciu medzinárodných štandardov finančného výkazníctva</w:t>
      </w:r>
      <w:r w:rsidRPr="008E00F3">
        <w:rPr>
          <w:rFonts w:asciiTheme="minorHAnsi" w:hAnsiTheme="minorHAnsi"/>
          <w:lang w:val="sk-SK"/>
        </w:rPr>
        <w:t xml:space="preserve"> alebo </w:t>
      </w:r>
      <w:r w:rsidRPr="008E00F3">
        <w:rPr>
          <w:rFonts w:asciiTheme="minorHAnsi" w:hAnsiTheme="minorHAnsi"/>
          <w:i/>
          <w:lang w:val="sk-SK"/>
        </w:rPr>
        <w:t>Stálym výborom pre interpretácie.</w:t>
      </w:r>
      <w:r w:rsidRPr="008E00F3">
        <w:rPr>
          <w:rFonts w:asciiTheme="minorHAnsi" w:hAnsiTheme="minorHAnsi"/>
          <w:b/>
          <w:i/>
          <w:lang w:val="sk-SK"/>
        </w:rPr>
        <w:t xml:space="preserve"> </w:t>
      </w:r>
    </w:p>
    <w:p w:rsidR="00CA28DC" w:rsidRPr="008E00F3" w:rsidRDefault="00CA28DC" w:rsidP="00763C18">
      <w:pPr>
        <w:jc w:val="both"/>
        <w:rPr>
          <w:rFonts w:asciiTheme="minorHAnsi" w:hAnsiTheme="minorHAnsi"/>
          <w:b/>
          <w:lang w:val="sk-SK"/>
        </w:rPr>
      </w:pPr>
    </w:p>
    <w:p w:rsidR="00763C18" w:rsidRPr="008E00F3" w:rsidRDefault="00763C18" w:rsidP="00763C18">
      <w:pPr>
        <w:jc w:val="both"/>
        <w:rPr>
          <w:rFonts w:asciiTheme="minorHAnsi" w:hAnsiTheme="minorHAnsi"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  <w:lang w:val="sk-SK"/>
        </w:rPr>
        <w:t>Komunikácia</w:t>
      </w:r>
      <w:r w:rsidRPr="008E00F3">
        <w:rPr>
          <w:rFonts w:asciiTheme="minorHAnsi" w:hAnsiTheme="minorHAnsi"/>
          <w:b/>
          <w:lang w:val="sk-SK"/>
        </w:rPr>
        <w:t xml:space="preserve"> (PŠ 1, 2, 3) </w:t>
      </w:r>
      <w:r w:rsidRPr="008E00F3">
        <w:rPr>
          <w:rFonts w:asciiTheme="minorHAnsi" w:hAnsiTheme="minorHAnsi"/>
          <w:lang w:val="sk-SK"/>
        </w:rPr>
        <w:t xml:space="preserve">– akékoľvek vyjadrenie (vrátane ústneho), ktoré urobí 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aktuár</w:t>
      </w:r>
      <w:r w:rsidRPr="008E00F3">
        <w:rPr>
          <w:rFonts w:asciiTheme="minorHAnsi" w:hAnsiTheme="minorHAnsi"/>
          <w:lang w:val="sk-SK"/>
        </w:rPr>
        <w:t xml:space="preserve"> v súvislosti s poskytovanými 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aktuárskymi službami</w:t>
      </w:r>
    </w:p>
    <w:p w:rsidR="00763C18" w:rsidRPr="008E00F3" w:rsidRDefault="00763C18" w:rsidP="00763C18">
      <w:pPr>
        <w:pStyle w:val="ISAP"/>
        <w:jc w:val="both"/>
        <w:rPr>
          <w:rFonts w:asciiTheme="minorHAnsi" w:hAnsiTheme="minorHAnsi"/>
          <w:bCs/>
          <w:i/>
          <w:lang w:val="sk-SK"/>
        </w:rPr>
      </w:pPr>
      <w:r w:rsidRPr="008E00F3">
        <w:rPr>
          <w:rStyle w:val="Hyperlink"/>
          <w:rFonts w:asciiTheme="minorHAnsi" w:hAnsiTheme="minorHAnsi"/>
          <w:b/>
          <w:szCs w:val="24"/>
          <w:u w:color="0000FF"/>
          <w:lang w:val="sk-SK"/>
        </w:rPr>
        <w:t>Medzinárodné štandardy finančného výkazníctva (IFRSs)</w:t>
      </w:r>
      <w:r w:rsidRPr="008E00F3">
        <w:rPr>
          <w:rFonts w:asciiTheme="minorHAnsi" w:hAnsiTheme="minorHAnsi"/>
          <w:b/>
          <w:lang w:val="sk-SK"/>
        </w:rPr>
        <w:t xml:space="preserve"> (PŠ 3)</w:t>
      </w:r>
      <w:r w:rsidRPr="008E00F3">
        <w:rPr>
          <w:rFonts w:asciiTheme="minorHAnsi" w:hAnsiTheme="minorHAnsi"/>
          <w:lang w:val="sk-SK"/>
        </w:rPr>
        <w:t xml:space="preserve"> – ako je defi</w:t>
      </w:r>
      <w:r w:rsidR="00781521" w:rsidRPr="008E00F3">
        <w:rPr>
          <w:rFonts w:asciiTheme="minorHAnsi" w:hAnsiTheme="minorHAnsi"/>
          <w:lang w:val="sk-SK"/>
        </w:rPr>
        <w:t>nované podľa IASB v paragrafe 7</w:t>
      </w:r>
      <w:r w:rsidRPr="008E00F3">
        <w:rPr>
          <w:rFonts w:asciiTheme="minorHAnsi" w:hAnsiTheme="minorHAnsi"/>
          <w:lang w:val="sk-SK"/>
        </w:rPr>
        <w:t xml:space="preserve"> </w:t>
      </w:r>
      <w:r w:rsidRPr="008E00F3">
        <w:rPr>
          <w:rFonts w:asciiTheme="minorHAnsi" w:hAnsiTheme="minorHAnsi"/>
          <w:i/>
          <w:lang w:val="sk-SK"/>
        </w:rPr>
        <w:t>IAS 1</w:t>
      </w:r>
      <w:r w:rsidRPr="008E00F3">
        <w:rPr>
          <w:rFonts w:asciiTheme="minorHAnsi" w:hAnsiTheme="minorHAnsi"/>
          <w:lang w:val="sk-SK"/>
        </w:rPr>
        <w:t xml:space="preserve"> </w:t>
      </w:r>
      <w:r w:rsidRPr="008E00F3">
        <w:rPr>
          <w:rFonts w:asciiTheme="minorHAnsi" w:hAnsiTheme="minorHAnsi"/>
          <w:i/>
          <w:iCs/>
          <w:lang w:val="sk-SK"/>
        </w:rPr>
        <w:t>Prezentácia účtovnej závierky</w:t>
      </w:r>
      <w:r w:rsidRPr="008E00F3">
        <w:rPr>
          <w:rFonts w:asciiTheme="minorHAnsi" w:hAnsiTheme="minorHAnsi"/>
          <w:lang w:val="sk-SK"/>
        </w:rPr>
        <w:t xml:space="preserve">, ktorý bol aktualizovaný v Júni 2011, podľa  </w:t>
      </w:r>
      <w:r w:rsidRPr="008E00F3">
        <w:rPr>
          <w:rFonts w:asciiTheme="minorHAnsi" w:hAnsiTheme="minorHAnsi"/>
          <w:i/>
          <w:lang w:val="sk-SK"/>
        </w:rPr>
        <w:t>Prezentácie položiek ostatných súhrnných ziskov a strát (Dodatky k  IAS 1)</w:t>
      </w:r>
      <w:r w:rsidRPr="008E00F3">
        <w:rPr>
          <w:rFonts w:asciiTheme="minorHAnsi" w:hAnsiTheme="minorHAnsi"/>
          <w:lang w:val="sk-SK"/>
        </w:rPr>
        <w:t>:</w:t>
      </w:r>
      <w:r w:rsidR="00824DE6" w:rsidRPr="008E00F3">
        <w:rPr>
          <w:rFonts w:asciiTheme="minorHAnsi" w:hAnsiTheme="minorHAnsi"/>
          <w:lang w:val="sk-SK"/>
        </w:rPr>
        <w:t xml:space="preserve"> „</w:t>
      </w:r>
      <w:r w:rsidRPr="008E00F3">
        <w:rPr>
          <w:rFonts w:asciiTheme="minorHAnsi" w:hAnsiTheme="minorHAnsi"/>
          <w:bCs/>
          <w:i/>
          <w:lang w:val="sk-SK"/>
        </w:rPr>
        <w:t>Štandardy a interpretácie vydané Radou pre medzinárodné účtovné štandardy (IASB). Tieto zahŕňajú:</w:t>
      </w:r>
    </w:p>
    <w:p w:rsidR="00763C18" w:rsidRPr="008E00F3" w:rsidRDefault="00763C18" w:rsidP="00763C18">
      <w:pPr>
        <w:pStyle w:val="ISAP"/>
        <w:numPr>
          <w:ilvl w:val="0"/>
          <w:numId w:val="17"/>
        </w:numPr>
        <w:ind w:left="714" w:hanging="357"/>
        <w:jc w:val="both"/>
        <w:rPr>
          <w:rFonts w:asciiTheme="minorHAnsi" w:eastAsia="Times New Roman" w:hAnsiTheme="minorHAnsi"/>
          <w:bCs/>
          <w:i/>
          <w:iCs/>
          <w:szCs w:val="28"/>
          <w:lang w:val="sk-SK"/>
        </w:rPr>
      </w:pPr>
      <w:r w:rsidRPr="008E00F3">
        <w:rPr>
          <w:rFonts w:asciiTheme="minorHAnsi" w:eastAsia="Times New Roman" w:hAnsiTheme="minorHAnsi"/>
          <w:bCs/>
          <w:i/>
          <w:iCs/>
          <w:szCs w:val="28"/>
          <w:lang w:val="sk-SK"/>
        </w:rPr>
        <w:t>Medzinárodné š</w:t>
      </w:r>
      <w:r w:rsidR="00781521" w:rsidRPr="008E00F3">
        <w:rPr>
          <w:rFonts w:asciiTheme="minorHAnsi" w:eastAsia="Times New Roman" w:hAnsiTheme="minorHAnsi"/>
          <w:bCs/>
          <w:i/>
          <w:iCs/>
          <w:szCs w:val="28"/>
          <w:lang w:val="sk-SK"/>
        </w:rPr>
        <w:t>tandardy finančného výkazníctva,</w:t>
      </w:r>
    </w:p>
    <w:p w:rsidR="00763C18" w:rsidRPr="008E00F3" w:rsidRDefault="00781521" w:rsidP="00763C18">
      <w:pPr>
        <w:pStyle w:val="ISAP"/>
        <w:numPr>
          <w:ilvl w:val="0"/>
          <w:numId w:val="17"/>
        </w:numPr>
        <w:ind w:left="720"/>
        <w:jc w:val="both"/>
        <w:rPr>
          <w:rFonts w:asciiTheme="minorHAnsi" w:eastAsia="Times New Roman" w:hAnsiTheme="minorHAnsi"/>
          <w:bCs/>
          <w:i/>
          <w:iCs/>
          <w:szCs w:val="28"/>
          <w:lang w:val="sk-SK"/>
        </w:rPr>
      </w:pPr>
      <w:r w:rsidRPr="008E00F3">
        <w:rPr>
          <w:rFonts w:asciiTheme="minorHAnsi" w:eastAsia="Times New Roman" w:hAnsiTheme="minorHAnsi"/>
          <w:bCs/>
          <w:i/>
          <w:iCs/>
          <w:szCs w:val="28"/>
          <w:lang w:val="sk-SK"/>
        </w:rPr>
        <w:t>Medzinárodné účtovné štandardy,</w:t>
      </w:r>
      <w:r w:rsidR="00763C18" w:rsidRPr="008E00F3">
        <w:rPr>
          <w:rFonts w:asciiTheme="minorHAnsi" w:eastAsia="Times New Roman" w:hAnsiTheme="minorHAnsi"/>
          <w:bCs/>
          <w:i/>
          <w:iCs/>
          <w:szCs w:val="28"/>
          <w:lang w:val="sk-SK"/>
        </w:rPr>
        <w:t xml:space="preserve"> </w:t>
      </w:r>
    </w:p>
    <w:p w:rsidR="00763C18" w:rsidRPr="008E00F3" w:rsidRDefault="00763C18" w:rsidP="00763C18">
      <w:pPr>
        <w:pStyle w:val="ISAP"/>
        <w:numPr>
          <w:ilvl w:val="0"/>
          <w:numId w:val="17"/>
        </w:numPr>
        <w:ind w:left="720"/>
        <w:jc w:val="both"/>
        <w:rPr>
          <w:rFonts w:asciiTheme="minorHAnsi" w:eastAsia="Times New Roman" w:hAnsiTheme="minorHAnsi"/>
          <w:bCs/>
          <w:i/>
          <w:iCs/>
          <w:szCs w:val="28"/>
          <w:lang w:val="sk-SK"/>
        </w:rPr>
      </w:pPr>
      <w:r w:rsidRPr="008E00F3">
        <w:rPr>
          <w:rFonts w:asciiTheme="minorHAnsi" w:hAnsiTheme="minorHAnsi"/>
          <w:i/>
          <w:lang w:val="sk-SK"/>
        </w:rPr>
        <w:t>Výbor pre interpretáciu medzinárodných št</w:t>
      </w:r>
      <w:r w:rsidR="00781521" w:rsidRPr="008E00F3">
        <w:rPr>
          <w:rFonts w:asciiTheme="minorHAnsi" w:hAnsiTheme="minorHAnsi"/>
          <w:i/>
          <w:lang w:val="sk-SK"/>
        </w:rPr>
        <w:t>andardov finančného výkazníctva</w:t>
      </w:r>
      <w:r w:rsidRPr="008E00F3">
        <w:rPr>
          <w:rFonts w:asciiTheme="minorHAnsi" w:hAnsiTheme="minorHAnsi"/>
          <w:i/>
          <w:lang w:val="sk-SK"/>
        </w:rPr>
        <w:t xml:space="preserve"> IFRIC</w:t>
      </w:r>
      <w:r w:rsidR="00781521" w:rsidRPr="008E00F3">
        <w:rPr>
          <w:rFonts w:asciiTheme="minorHAnsi" w:eastAsia="Times New Roman" w:hAnsiTheme="minorHAnsi"/>
          <w:bCs/>
          <w:i/>
          <w:iCs/>
          <w:szCs w:val="28"/>
          <w:lang w:val="sk-SK"/>
        </w:rPr>
        <w:t xml:space="preserve"> Interpretácie</w:t>
      </w:r>
      <w:r w:rsidRPr="008E00F3">
        <w:rPr>
          <w:rFonts w:asciiTheme="minorHAnsi" w:eastAsia="Times New Roman" w:hAnsiTheme="minorHAnsi"/>
          <w:bCs/>
          <w:i/>
          <w:iCs/>
          <w:szCs w:val="28"/>
          <w:lang w:val="sk-SK"/>
        </w:rPr>
        <w:t xml:space="preserve"> a</w:t>
      </w:r>
    </w:p>
    <w:p w:rsidR="00763C18" w:rsidRPr="008E00F3" w:rsidRDefault="00763C18" w:rsidP="00763C18">
      <w:pPr>
        <w:pStyle w:val="ISAP"/>
        <w:numPr>
          <w:ilvl w:val="0"/>
          <w:numId w:val="17"/>
        </w:numPr>
        <w:ind w:left="720"/>
        <w:jc w:val="both"/>
        <w:rPr>
          <w:rFonts w:asciiTheme="minorHAnsi" w:eastAsia="Times New Roman" w:hAnsiTheme="minorHAnsi"/>
          <w:b/>
          <w:bCs/>
          <w:i/>
          <w:iCs/>
          <w:szCs w:val="28"/>
          <w:lang w:val="sk-SK"/>
        </w:rPr>
      </w:pPr>
      <w:r w:rsidRPr="008E00F3">
        <w:rPr>
          <w:rFonts w:asciiTheme="minorHAnsi" w:hAnsiTheme="minorHAnsi"/>
          <w:i/>
          <w:lang w:val="sk-SK"/>
        </w:rPr>
        <w:t>býval</w:t>
      </w:r>
      <w:r w:rsidR="00781521" w:rsidRPr="008E00F3">
        <w:rPr>
          <w:rFonts w:asciiTheme="minorHAnsi" w:hAnsiTheme="minorHAnsi"/>
          <w:i/>
          <w:lang w:val="sk-SK"/>
        </w:rPr>
        <w:t>ý Stály výbor pre interpretácie</w:t>
      </w:r>
      <w:r w:rsidRPr="008E00F3">
        <w:rPr>
          <w:rFonts w:asciiTheme="minorHAnsi" w:hAnsiTheme="minorHAnsi"/>
          <w:i/>
          <w:lang w:val="sk-SK"/>
        </w:rPr>
        <w:t xml:space="preserve"> </w:t>
      </w:r>
      <w:r w:rsidRPr="008E00F3">
        <w:rPr>
          <w:rFonts w:asciiTheme="minorHAnsi" w:eastAsia="Times New Roman" w:hAnsiTheme="minorHAnsi"/>
          <w:bCs/>
          <w:i/>
          <w:iCs/>
          <w:szCs w:val="28"/>
          <w:lang w:val="sk-SK"/>
        </w:rPr>
        <w:t>SIC Interpretácie.”</w:t>
      </w:r>
      <w:r w:rsidRPr="008E00F3">
        <w:rPr>
          <w:rFonts w:asciiTheme="minorHAnsi" w:hAnsiTheme="minorHAnsi"/>
          <w:i/>
          <w:lang w:val="sk-SK"/>
        </w:rPr>
        <w:t xml:space="preserve"> </w:t>
      </w:r>
    </w:p>
    <w:p w:rsidR="00763C18" w:rsidRPr="008E00F3" w:rsidRDefault="00763C18" w:rsidP="00763C18">
      <w:pPr>
        <w:pStyle w:val="ISAP"/>
        <w:jc w:val="both"/>
        <w:rPr>
          <w:rFonts w:asciiTheme="minorHAnsi" w:hAnsiTheme="minorHAnsi"/>
          <w:i/>
          <w:lang w:val="sk-SK"/>
        </w:rPr>
      </w:pPr>
      <w:r w:rsidRPr="008E00F3">
        <w:rPr>
          <w:rStyle w:val="Hyperlink"/>
          <w:rFonts w:asciiTheme="minorHAnsi" w:hAnsiTheme="minorHAnsi"/>
          <w:b/>
          <w:szCs w:val="24"/>
          <w:u w:color="0000FF"/>
          <w:lang w:val="sk-SK"/>
        </w:rPr>
        <w:t>Mimozmluvná povinnosť</w:t>
      </w:r>
      <w:r w:rsidRPr="008E00F3">
        <w:rPr>
          <w:rFonts w:asciiTheme="minorHAnsi" w:hAnsiTheme="minorHAnsi"/>
          <w:b/>
          <w:lang w:val="sk-SK"/>
        </w:rPr>
        <w:t xml:space="preserve"> (PŠ 3)</w:t>
      </w:r>
      <w:r w:rsidRPr="008E00F3">
        <w:rPr>
          <w:rFonts w:asciiTheme="minorHAnsi" w:hAnsiTheme="minorHAnsi"/>
          <w:lang w:val="sk-SK"/>
        </w:rPr>
        <w:t xml:space="preserve"> – ako je definované podľa IASB v paragrafe 10 </w:t>
      </w:r>
      <w:r w:rsidRPr="008E00F3">
        <w:rPr>
          <w:rFonts w:asciiTheme="minorHAnsi" w:hAnsiTheme="minorHAnsi"/>
          <w:i/>
          <w:lang w:val="sk-SK"/>
        </w:rPr>
        <w:t>IAS 37 Rezervy, podmienené záväzky a podmienené aktíva</w:t>
      </w:r>
      <w:r w:rsidRPr="008E00F3">
        <w:rPr>
          <w:rFonts w:asciiTheme="minorHAnsi" w:hAnsiTheme="minorHAnsi"/>
          <w:lang w:val="sk-SK"/>
        </w:rPr>
        <w:t>, ktorý bol aktualizova</w:t>
      </w:r>
      <w:r w:rsidR="00781521" w:rsidRPr="008E00F3">
        <w:rPr>
          <w:rFonts w:asciiTheme="minorHAnsi" w:hAnsiTheme="minorHAnsi"/>
          <w:lang w:val="sk-SK"/>
        </w:rPr>
        <w:t>ný v Októbri 2010, podľa IFRS 9</w:t>
      </w:r>
      <w:r w:rsidRPr="008E00F3">
        <w:rPr>
          <w:rFonts w:asciiTheme="minorHAnsi" w:hAnsiTheme="minorHAnsi"/>
          <w:lang w:val="sk-SK"/>
        </w:rPr>
        <w:t xml:space="preserve"> </w:t>
      </w:r>
      <w:r w:rsidRPr="008E00F3">
        <w:rPr>
          <w:rFonts w:asciiTheme="minorHAnsi" w:hAnsiTheme="minorHAnsi"/>
          <w:i/>
          <w:lang w:val="sk-SK"/>
        </w:rPr>
        <w:t>Finančné nástroje</w:t>
      </w:r>
      <w:r w:rsidRPr="008E00F3">
        <w:rPr>
          <w:rFonts w:asciiTheme="minorHAnsi" w:hAnsiTheme="minorHAnsi"/>
          <w:lang w:val="sk-SK"/>
        </w:rPr>
        <w:t>: „</w:t>
      </w:r>
      <w:r w:rsidRPr="008E00F3">
        <w:rPr>
          <w:rFonts w:asciiTheme="minorHAnsi" w:hAnsiTheme="minorHAnsi"/>
          <w:i/>
          <w:lang w:val="sk-SK"/>
        </w:rPr>
        <w:t>Mimozmluvná povinnosť je povinnosť, ktorá sa odvíja z činností účtovnej jednotky, keď:</w:t>
      </w:r>
    </w:p>
    <w:p w:rsidR="00763C18" w:rsidRPr="008E00F3" w:rsidRDefault="00763C18" w:rsidP="00763C18">
      <w:pPr>
        <w:pStyle w:val="ISAP"/>
        <w:numPr>
          <w:ilvl w:val="0"/>
          <w:numId w:val="16"/>
        </w:numPr>
        <w:jc w:val="both"/>
        <w:rPr>
          <w:rFonts w:asciiTheme="minorHAnsi" w:hAnsiTheme="minorHAnsi"/>
          <w:i/>
          <w:lang w:val="sk-SK"/>
        </w:rPr>
      </w:pPr>
      <w:r w:rsidRPr="008E00F3">
        <w:rPr>
          <w:rFonts w:asciiTheme="minorHAnsi" w:hAnsiTheme="minorHAnsi"/>
          <w:i/>
          <w:lang w:val="sk-SK"/>
        </w:rPr>
        <w:t>zavedenými vzormi správania sa z minulej praxe, zverejnenými postupmi alebo dostatočne konkrétnym súčasným vyhlásením účtovná jednotka naznačila ostatným stranám, že</w:t>
      </w:r>
      <w:r w:rsidR="00781521" w:rsidRPr="008E00F3">
        <w:rPr>
          <w:rFonts w:asciiTheme="minorHAnsi" w:hAnsiTheme="minorHAnsi"/>
          <w:i/>
          <w:lang w:val="sk-SK"/>
        </w:rPr>
        <w:t xml:space="preserve"> bude akceptovať určité záväzky</w:t>
      </w:r>
      <w:r w:rsidRPr="008E00F3">
        <w:rPr>
          <w:rFonts w:asciiTheme="minorHAnsi" w:hAnsiTheme="minorHAnsi"/>
          <w:i/>
          <w:lang w:val="sk-SK"/>
        </w:rPr>
        <w:t xml:space="preserve"> a</w:t>
      </w:r>
    </w:p>
    <w:p w:rsidR="00763C18" w:rsidRPr="008E00F3" w:rsidRDefault="00763C18" w:rsidP="00763C18">
      <w:pPr>
        <w:pStyle w:val="ISAP"/>
        <w:numPr>
          <w:ilvl w:val="0"/>
          <w:numId w:val="16"/>
        </w:numPr>
        <w:jc w:val="both"/>
        <w:rPr>
          <w:rFonts w:asciiTheme="minorHAnsi" w:hAnsiTheme="minorHAnsi"/>
          <w:b/>
          <w:lang w:val="sk-SK"/>
        </w:rPr>
      </w:pPr>
      <w:r w:rsidRPr="008E00F3">
        <w:rPr>
          <w:rFonts w:asciiTheme="minorHAnsi" w:hAnsiTheme="minorHAnsi"/>
          <w:i/>
          <w:lang w:val="sk-SK"/>
        </w:rPr>
        <w:t>v dôsledku čoho účtovná jednotka vytvorila platné očakávanie na strane ostatných zúčastnených strán, že si splní túto zodpovednosť</w:t>
      </w:r>
      <w:r w:rsidRPr="008E00F3">
        <w:rPr>
          <w:rFonts w:asciiTheme="minorHAnsi" w:hAnsiTheme="minorHAnsi"/>
          <w:lang w:val="sk-SK"/>
        </w:rPr>
        <w:t>.“</w:t>
      </w:r>
    </w:p>
    <w:p w:rsidR="00763C18" w:rsidRPr="008E00F3" w:rsidRDefault="00763C18" w:rsidP="00763C18">
      <w:pPr>
        <w:pStyle w:val="ISAP"/>
        <w:jc w:val="both"/>
        <w:rPr>
          <w:rFonts w:asciiTheme="minorHAnsi" w:hAnsiTheme="minorHAnsi"/>
          <w:lang w:val="sk-SK"/>
        </w:rPr>
      </w:pPr>
      <w:r w:rsidRPr="008E00F3">
        <w:rPr>
          <w:rFonts w:asciiTheme="minorHAnsi" w:hAnsiTheme="minorHAnsi"/>
          <w:lang w:val="sk-SK"/>
        </w:rPr>
        <w:t xml:space="preserve">V paragrafe 4(c) </w:t>
      </w:r>
      <w:r w:rsidRPr="008E00F3">
        <w:rPr>
          <w:rFonts w:asciiTheme="minorHAnsi" w:hAnsiTheme="minorHAnsi"/>
          <w:i/>
          <w:lang w:val="sk-SK"/>
        </w:rPr>
        <w:t>IAS 19</w:t>
      </w:r>
      <w:r w:rsidRPr="008E00F3">
        <w:rPr>
          <w:rFonts w:asciiTheme="minorHAnsi" w:hAnsiTheme="minorHAnsi"/>
          <w:lang w:val="sk-SK"/>
        </w:rPr>
        <w:t xml:space="preserve"> </w:t>
      </w:r>
      <w:r w:rsidRPr="008E00F3">
        <w:rPr>
          <w:rFonts w:asciiTheme="minorHAnsi" w:hAnsiTheme="minorHAnsi"/>
          <w:i/>
          <w:lang w:val="sk-SK"/>
        </w:rPr>
        <w:t>Zamestnanecké požitky</w:t>
      </w:r>
      <w:r w:rsidR="00824DE6" w:rsidRPr="008E00F3">
        <w:rPr>
          <w:rFonts w:asciiTheme="minorHAnsi" w:hAnsiTheme="minorHAnsi"/>
          <w:lang w:val="sk-SK"/>
        </w:rPr>
        <w:t xml:space="preserve"> IASB ďalej hovorí „</w:t>
      </w:r>
      <w:r w:rsidRPr="008E00F3">
        <w:rPr>
          <w:rFonts w:asciiTheme="minorHAnsi" w:hAnsiTheme="minorHAnsi"/>
          <w:i/>
          <w:lang w:val="sk-SK"/>
        </w:rPr>
        <w:t>Neformálne zvyklosti vedú k vzniku  mimozmluvnej povinnosti, ak účtovná jednotka nemá inú reálnu alternatívu, len zamestnanecké požitky vyplatiť.</w:t>
      </w:r>
      <w:r w:rsidRPr="008E00F3">
        <w:rPr>
          <w:rFonts w:asciiTheme="minorHAnsi" w:hAnsiTheme="minorHAnsi"/>
          <w:lang w:val="sk-SK"/>
        </w:rPr>
        <w:t>”</w:t>
      </w:r>
    </w:p>
    <w:p w:rsidR="00DD02C3" w:rsidRPr="008E00F3" w:rsidRDefault="00DD02C3" w:rsidP="00DD02C3">
      <w:pPr>
        <w:spacing w:before="120" w:after="120"/>
        <w:outlineLvl w:val="2"/>
        <w:rPr>
          <w:rFonts w:asciiTheme="minorHAnsi" w:hAnsiTheme="minorHAnsi"/>
          <w:b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  <w:lang w:val="sk-SK"/>
        </w:rPr>
        <w:t>Následná udalosť</w:t>
      </w:r>
      <w:r w:rsidRPr="008E00F3">
        <w:rPr>
          <w:rFonts w:asciiTheme="minorHAnsi" w:eastAsia="Times New Roman" w:hAnsiTheme="minorHAnsi"/>
          <w:b/>
          <w:lang w:val="sk-SK"/>
        </w:rPr>
        <w:t xml:space="preserve"> </w:t>
      </w:r>
      <w:bookmarkEnd w:id="2"/>
      <w:r w:rsidRPr="008E00F3">
        <w:rPr>
          <w:rFonts w:asciiTheme="minorHAnsi" w:eastAsia="Times New Roman" w:hAnsiTheme="minorHAnsi"/>
          <w:b/>
          <w:lang w:val="sk-SK"/>
        </w:rPr>
        <w:t>(PŠ 1, 2) –</w:t>
      </w:r>
      <w:r w:rsidRPr="008E00F3">
        <w:rPr>
          <w:rFonts w:asciiTheme="minorHAnsi" w:eastAsia="Times New Roman" w:hAnsiTheme="minorHAnsi"/>
          <w:lang w:val="sk-SK"/>
        </w:rPr>
        <w:t xml:space="preserve"> </w:t>
      </w:r>
      <w:r w:rsidR="00E47368" w:rsidRPr="008E00F3">
        <w:rPr>
          <w:rFonts w:asciiTheme="minorHAnsi" w:eastAsia="Times New Roman" w:hAnsiTheme="minorHAnsi"/>
          <w:lang w:val="sk-SK"/>
        </w:rPr>
        <w:t>u</w:t>
      </w:r>
      <w:r w:rsidRPr="008E00F3">
        <w:rPr>
          <w:rFonts w:asciiTheme="minorHAnsi" w:eastAsia="Times New Roman" w:hAnsiTheme="minorHAnsi"/>
          <w:lang w:val="sk-SK"/>
        </w:rPr>
        <w:t xml:space="preserve">dalosť, o ktorej sa 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aktuár</w:t>
      </w:r>
      <w:r w:rsidRPr="008E00F3">
        <w:rPr>
          <w:rFonts w:asciiTheme="minorHAnsi" w:eastAsia="Times New Roman" w:hAnsiTheme="minorHAnsi"/>
          <w:lang w:val="sk-SK"/>
        </w:rPr>
        <w:t xml:space="preserve"> dozvie po 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dátume ocenenia</w:t>
      </w:r>
      <w:r w:rsidRPr="008E00F3">
        <w:rPr>
          <w:rFonts w:asciiTheme="minorHAnsi" w:eastAsia="Times New Roman" w:hAnsiTheme="minorHAnsi"/>
          <w:lang w:val="sk-SK"/>
        </w:rPr>
        <w:t xml:space="preserve"> </w:t>
      </w:r>
      <w:r w:rsidRPr="008E00F3">
        <w:rPr>
          <w:rFonts w:asciiTheme="minorHAnsi" w:hAnsiTheme="minorHAnsi"/>
          <w:lang w:val="sk-SK"/>
        </w:rPr>
        <w:t xml:space="preserve">(alebo dátume na ktorý 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aktuárske služby</w:t>
      </w:r>
      <w:r w:rsidRPr="008E00F3">
        <w:rPr>
          <w:rFonts w:asciiTheme="minorHAnsi" w:hAnsiTheme="minorHAnsi"/>
          <w:lang w:val="sk-SK"/>
        </w:rPr>
        <w:t xml:space="preserve"> odkazujú) ale pred 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komunikáciou</w:t>
      </w:r>
      <w:r w:rsidRPr="008E00F3">
        <w:rPr>
          <w:rFonts w:asciiTheme="minorHAnsi" w:hAnsiTheme="minorHAnsi"/>
          <w:lang w:val="sk-SK"/>
        </w:rPr>
        <w:t xml:space="preserve"> 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aktuára</w:t>
      </w:r>
      <w:r w:rsidRPr="008E00F3">
        <w:rPr>
          <w:rFonts w:asciiTheme="minorHAnsi" w:hAnsiTheme="minorHAnsi"/>
          <w:lang w:val="sk-SK"/>
        </w:rPr>
        <w:t xml:space="preserve"> o výsledkoch týchto 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aktuárskych služieb</w:t>
      </w:r>
    </w:p>
    <w:p w:rsidR="0042479E" w:rsidRPr="008E00F3" w:rsidRDefault="0042479E" w:rsidP="0042479E">
      <w:pPr>
        <w:pStyle w:val="ISAP"/>
        <w:jc w:val="both"/>
        <w:rPr>
          <w:rFonts w:asciiTheme="minorHAnsi" w:hAnsiTheme="minorHAnsi"/>
          <w:lang w:val="sk-SK"/>
        </w:rPr>
      </w:pPr>
      <w:bookmarkStart w:id="3" w:name="Principal"/>
      <w:bookmarkStart w:id="4" w:name="social_security_program"/>
      <w:r w:rsidRPr="008E00F3">
        <w:rPr>
          <w:rStyle w:val="Hyperlink"/>
          <w:rFonts w:asciiTheme="minorHAnsi" w:hAnsiTheme="minorHAnsi"/>
          <w:b/>
          <w:szCs w:val="24"/>
          <w:u w:color="0000FF"/>
          <w:lang w:val="sk-SK"/>
        </w:rPr>
        <w:t>Odborný úsudok</w:t>
      </w:r>
      <w:r w:rsidRPr="008E00F3">
        <w:rPr>
          <w:rFonts w:asciiTheme="minorHAnsi" w:hAnsiTheme="minorHAnsi"/>
          <w:b/>
          <w:lang w:val="sk-SK"/>
        </w:rPr>
        <w:t xml:space="preserve"> </w:t>
      </w:r>
      <w:r w:rsidRPr="008E00F3">
        <w:rPr>
          <w:rFonts w:asciiTheme="minorHAnsi" w:eastAsia="Times New Roman" w:hAnsiTheme="minorHAnsi"/>
          <w:b/>
          <w:lang w:val="sk-SK"/>
        </w:rPr>
        <w:t xml:space="preserve">(PŠ 1, 2, 3) </w:t>
      </w:r>
      <w:r w:rsidRPr="008E00F3">
        <w:rPr>
          <w:rFonts w:asciiTheme="minorHAnsi" w:hAnsiTheme="minorHAnsi"/>
          <w:b/>
          <w:lang w:val="sk-SK"/>
        </w:rPr>
        <w:t xml:space="preserve">– </w:t>
      </w:r>
      <w:r w:rsidR="00E47368" w:rsidRPr="008E00F3">
        <w:rPr>
          <w:rFonts w:asciiTheme="minorHAnsi" w:hAnsiTheme="minorHAnsi"/>
          <w:lang w:val="sk-SK"/>
        </w:rPr>
        <w:t>ú</w:t>
      </w:r>
      <w:r w:rsidRPr="008E00F3">
        <w:rPr>
          <w:rFonts w:asciiTheme="minorHAnsi" w:hAnsiTheme="minorHAnsi"/>
          <w:lang w:val="sk-SK"/>
        </w:rPr>
        <w:t xml:space="preserve">sudok </w:t>
      </w:r>
      <w:r w:rsidRPr="008E00F3">
        <w:rPr>
          <w:rStyle w:val="Hyperlink"/>
          <w:rFonts w:asciiTheme="minorHAnsi" w:hAnsiTheme="minorHAnsi"/>
          <w:szCs w:val="24"/>
          <w:u w:color="0000FF"/>
          <w:lang w:val="sk-SK"/>
        </w:rPr>
        <w:t>aktuára</w:t>
      </w:r>
      <w:r w:rsidRPr="008E00F3">
        <w:rPr>
          <w:rFonts w:asciiTheme="minorHAnsi" w:hAnsiTheme="minorHAnsi"/>
          <w:lang w:val="sk-SK"/>
        </w:rPr>
        <w:t xml:space="preserve"> opierajúci sa o jeho a</w:t>
      </w:r>
      <w:r w:rsidR="00E47368" w:rsidRPr="008E00F3">
        <w:rPr>
          <w:rFonts w:asciiTheme="minorHAnsi" w:hAnsiTheme="minorHAnsi"/>
          <w:lang w:val="sk-SK"/>
        </w:rPr>
        <w:t>ktuárske vzdelanie a skúsenosti</w:t>
      </w:r>
    </w:p>
    <w:bookmarkEnd w:id="3"/>
    <w:p w:rsidR="00DD02C3" w:rsidRPr="008E00F3" w:rsidRDefault="00DD02C3" w:rsidP="00DD02C3">
      <w:pPr>
        <w:spacing w:before="120" w:after="120"/>
        <w:outlineLvl w:val="2"/>
        <w:rPr>
          <w:rFonts w:asciiTheme="minorHAnsi" w:eastAsia="Times New Roman" w:hAnsiTheme="minorHAnsi"/>
          <w:b/>
          <w:bCs/>
          <w:iCs/>
          <w:szCs w:val="28"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</w:rPr>
        <w:t>SDZ</w:t>
      </w:r>
      <w:r w:rsidRPr="008E00F3">
        <w:rPr>
          <w:rFonts w:asciiTheme="minorHAnsi" w:eastAsia="Times New Roman" w:hAnsiTheme="minorHAnsi"/>
          <w:b/>
          <w:bCs/>
          <w:iCs/>
          <w:szCs w:val="28"/>
          <w:lang w:val="sk-SK"/>
        </w:rPr>
        <w:t xml:space="preserve"> (PŠ 2) – </w:t>
      </w:r>
      <w:hyperlink w:anchor="social_security_program" w:history="1">
        <w:r w:rsidRPr="008E00F3">
          <w:rPr>
            <w:rStyle w:val="Hyperlink"/>
            <w:rFonts w:asciiTheme="minorHAnsi" w:hAnsiTheme="minorHAnsi"/>
            <w:u w:color="0000FF"/>
          </w:rPr>
          <w:t>Schémy dôchodkového zabezpečenia</w:t>
        </w:r>
      </w:hyperlink>
    </w:p>
    <w:p w:rsidR="00DD02C3" w:rsidRPr="008E00F3" w:rsidRDefault="00DD02C3" w:rsidP="00DD02C3">
      <w:pPr>
        <w:pStyle w:val="Godfrey"/>
        <w:rPr>
          <w:rFonts w:asciiTheme="minorHAnsi" w:eastAsia="Times New Roman" w:hAnsiTheme="minorHAnsi"/>
          <w:szCs w:val="28"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  <w:lang w:val="sk-SK"/>
        </w:rPr>
        <w:lastRenderedPageBreak/>
        <w:t xml:space="preserve">Schémy </w:t>
      </w:r>
      <w:bookmarkEnd w:id="4"/>
      <w:r w:rsidRPr="008E00F3">
        <w:rPr>
          <w:rStyle w:val="Hyperlink"/>
          <w:rFonts w:asciiTheme="minorHAnsi" w:hAnsiTheme="minorHAnsi"/>
          <w:b/>
          <w:u w:color="0000FF"/>
          <w:lang w:val="sk-SK"/>
        </w:rPr>
        <w:t>dôchodkového zabezpečenia</w:t>
      </w:r>
      <w:r w:rsidRPr="008E00F3">
        <w:rPr>
          <w:rFonts w:asciiTheme="minorHAnsi" w:eastAsia="Times New Roman" w:hAnsiTheme="minorHAnsi"/>
          <w:b/>
          <w:bCs/>
          <w:iCs/>
          <w:szCs w:val="28"/>
          <w:lang w:val="sk-SK"/>
        </w:rPr>
        <w:t xml:space="preserve"> (PŠ 2) –</w:t>
      </w:r>
      <w:r w:rsidRPr="008E00F3">
        <w:rPr>
          <w:rFonts w:asciiTheme="minorHAnsi" w:eastAsia="Times New Roman" w:hAnsiTheme="minorHAnsi"/>
          <w:bCs/>
          <w:iCs/>
          <w:szCs w:val="28"/>
          <w:lang w:val="sk-SK"/>
        </w:rPr>
        <w:t xml:space="preserve"> program so všetkými nasledujúcimi atribútmi pričom nezávisí od toho ako je </w:t>
      </w:r>
      <w:r w:rsidRPr="008E00F3">
        <w:rPr>
          <w:rFonts w:asciiTheme="minorHAnsi" w:eastAsia="Times New Roman" w:hAnsiTheme="minorHAnsi"/>
          <w:bCs/>
          <w:iCs/>
          <w:szCs w:val="23"/>
          <w:lang w:val="sk-SK"/>
        </w:rPr>
        <w:t>financovaný a spravovaný:</w:t>
      </w:r>
    </w:p>
    <w:p w:rsidR="00DD02C3" w:rsidRPr="008E00F3" w:rsidRDefault="00E47368" w:rsidP="00DD02C3">
      <w:pPr>
        <w:numPr>
          <w:ilvl w:val="0"/>
          <w:numId w:val="11"/>
        </w:numPr>
        <w:spacing w:before="120" w:after="120"/>
        <w:outlineLvl w:val="2"/>
        <w:rPr>
          <w:rFonts w:asciiTheme="minorHAnsi" w:eastAsia="Times New Roman" w:hAnsiTheme="minorHAnsi"/>
          <w:bCs/>
          <w:lang w:val="sk-SK"/>
        </w:rPr>
      </w:pPr>
      <w:r w:rsidRPr="008E00F3">
        <w:rPr>
          <w:rFonts w:asciiTheme="minorHAnsi" w:eastAsia="Times New Roman" w:hAnsiTheme="minorHAnsi"/>
          <w:bCs/>
          <w:lang w:val="sk-SK"/>
        </w:rPr>
        <w:t>p</w:t>
      </w:r>
      <w:r w:rsidR="00DD02C3" w:rsidRPr="008E00F3">
        <w:rPr>
          <w:rFonts w:asciiTheme="minorHAnsi" w:eastAsia="Times New Roman" w:hAnsiTheme="minorHAnsi"/>
          <w:bCs/>
          <w:lang w:val="sk-SK"/>
        </w:rPr>
        <w:t>okrýva široký</w:t>
      </w:r>
      <w:r w:rsidRPr="008E00F3">
        <w:rPr>
          <w:rFonts w:asciiTheme="minorHAnsi" w:eastAsia="Times New Roman" w:hAnsiTheme="minorHAnsi"/>
          <w:bCs/>
          <w:lang w:val="sk-SK"/>
        </w:rPr>
        <w:t xml:space="preserve"> segment</w:t>
      </w:r>
      <w:r w:rsidR="00DD02C3" w:rsidRPr="008E00F3">
        <w:rPr>
          <w:rFonts w:asciiTheme="minorHAnsi" w:eastAsia="Times New Roman" w:hAnsiTheme="minorHAnsi"/>
          <w:bCs/>
          <w:lang w:val="sk-SK"/>
        </w:rPr>
        <w:t xml:space="preserve"> alebo celú populáciu, často na povinnej alebo automatickej báze</w:t>
      </w:r>
      <w:r w:rsidRPr="008E00F3">
        <w:rPr>
          <w:rFonts w:asciiTheme="minorHAnsi" w:eastAsia="Times New Roman" w:hAnsiTheme="minorHAnsi"/>
          <w:bCs/>
          <w:lang w:val="sk-SK"/>
        </w:rPr>
        <w:t>,</w:t>
      </w:r>
    </w:p>
    <w:p w:rsidR="00DD02C3" w:rsidRPr="008E00F3" w:rsidRDefault="00E47368" w:rsidP="00DD02C3">
      <w:pPr>
        <w:numPr>
          <w:ilvl w:val="0"/>
          <w:numId w:val="11"/>
        </w:numPr>
        <w:spacing w:before="120" w:after="120"/>
        <w:outlineLvl w:val="2"/>
        <w:rPr>
          <w:rFonts w:asciiTheme="minorHAnsi" w:eastAsia="Times New Roman" w:hAnsiTheme="minorHAnsi"/>
          <w:bCs/>
          <w:lang w:val="sk-SK"/>
        </w:rPr>
      </w:pPr>
      <w:r w:rsidRPr="008E00F3">
        <w:rPr>
          <w:rFonts w:asciiTheme="minorHAnsi" w:eastAsia="Times New Roman" w:hAnsiTheme="minorHAnsi"/>
          <w:bCs/>
          <w:lang w:val="sk-SK"/>
        </w:rPr>
        <w:t>b</w:t>
      </w:r>
      <w:r w:rsidR="00DD02C3" w:rsidRPr="008E00F3">
        <w:rPr>
          <w:rFonts w:asciiTheme="minorHAnsi" w:eastAsia="Times New Roman" w:hAnsiTheme="minorHAnsi"/>
          <w:bCs/>
          <w:lang w:val="sk-SK"/>
        </w:rPr>
        <w:t>enefity sú poskytnuté jednotlivcom alebo v ich mene</w:t>
      </w:r>
      <w:r w:rsidRPr="008E00F3">
        <w:rPr>
          <w:rFonts w:asciiTheme="minorHAnsi" w:eastAsia="Times New Roman" w:hAnsiTheme="minorHAnsi"/>
          <w:bCs/>
          <w:lang w:val="sk-SK"/>
        </w:rPr>
        <w:t>,</w:t>
      </w:r>
      <w:r w:rsidR="00DD02C3" w:rsidRPr="008E00F3">
        <w:rPr>
          <w:rFonts w:asciiTheme="minorHAnsi" w:eastAsia="Times New Roman" w:hAnsiTheme="minorHAnsi"/>
          <w:bCs/>
          <w:lang w:val="sk-SK"/>
        </w:rPr>
        <w:t xml:space="preserve"> </w:t>
      </w:r>
    </w:p>
    <w:p w:rsidR="00DD02C3" w:rsidRPr="008E00F3" w:rsidRDefault="00E47368" w:rsidP="00DD02C3">
      <w:pPr>
        <w:numPr>
          <w:ilvl w:val="0"/>
          <w:numId w:val="11"/>
        </w:numPr>
        <w:spacing w:before="120" w:after="120"/>
        <w:outlineLvl w:val="2"/>
        <w:rPr>
          <w:rFonts w:asciiTheme="minorHAnsi" w:eastAsia="Times New Roman" w:hAnsiTheme="minorHAnsi"/>
          <w:bCs/>
          <w:lang w:val="sk-SK"/>
        </w:rPr>
      </w:pPr>
      <w:r w:rsidRPr="008E00F3">
        <w:rPr>
          <w:rFonts w:asciiTheme="minorHAnsi" w:eastAsia="Times New Roman" w:hAnsiTheme="minorHAnsi"/>
          <w:bCs/>
          <w:lang w:val="sk-SK"/>
        </w:rPr>
        <w:t>p</w:t>
      </w:r>
      <w:r w:rsidR="00DD02C3" w:rsidRPr="008E00F3">
        <w:rPr>
          <w:rFonts w:asciiTheme="minorHAnsi" w:eastAsia="Times New Roman" w:hAnsiTheme="minorHAnsi"/>
          <w:bCs/>
          <w:lang w:val="sk-SK"/>
        </w:rPr>
        <w:t xml:space="preserve">rogram, vrátane benefitov a metódy financovania, je zadefinavaný </w:t>
      </w:r>
      <w:r w:rsidR="00DD02C3" w:rsidRPr="008E00F3">
        <w:rPr>
          <w:rStyle w:val="Hyperlink"/>
          <w:rFonts w:asciiTheme="minorHAnsi" w:hAnsiTheme="minorHAnsi"/>
          <w:u w:color="0000FF"/>
          <w:lang w:val="sk-SK"/>
        </w:rPr>
        <w:t>zákonom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,</w:t>
      </w:r>
    </w:p>
    <w:p w:rsidR="00DD02C3" w:rsidRPr="008E00F3" w:rsidRDefault="00E47368" w:rsidP="00DD02C3">
      <w:pPr>
        <w:numPr>
          <w:ilvl w:val="0"/>
          <w:numId w:val="11"/>
        </w:numPr>
        <w:spacing w:before="120" w:after="120"/>
        <w:outlineLvl w:val="2"/>
        <w:rPr>
          <w:rFonts w:asciiTheme="minorHAnsi" w:eastAsia="Times New Roman" w:hAnsiTheme="minorHAnsi"/>
          <w:bCs/>
          <w:lang w:val="sk-SK"/>
        </w:rPr>
      </w:pPr>
      <w:r w:rsidRPr="008E00F3">
        <w:rPr>
          <w:rFonts w:asciiTheme="minorHAnsi" w:eastAsia="Times New Roman" w:hAnsiTheme="minorHAnsi"/>
          <w:bCs/>
          <w:lang w:val="sk-SK"/>
        </w:rPr>
        <w:t>p</w:t>
      </w:r>
      <w:r w:rsidR="00DD02C3" w:rsidRPr="008E00F3">
        <w:rPr>
          <w:rFonts w:asciiTheme="minorHAnsi" w:eastAsia="Times New Roman" w:hAnsiTheme="minorHAnsi"/>
          <w:bCs/>
          <w:lang w:val="sk-SK"/>
        </w:rPr>
        <w:t>rogram nie je financovaný súkromným poistením</w:t>
      </w:r>
      <w:r w:rsidRPr="008E00F3">
        <w:rPr>
          <w:rFonts w:asciiTheme="minorHAnsi" w:eastAsia="Times New Roman" w:hAnsiTheme="minorHAnsi"/>
          <w:bCs/>
          <w:lang w:val="sk-SK"/>
        </w:rPr>
        <w:t>,</w:t>
      </w:r>
    </w:p>
    <w:p w:rsidR="00DD02C3" w:rsidRPr="008E00F3" w:rsidRDefault="00E47368" w:rsidP="00DD02C3">
      <w:pPr>
        <w:numPr>
          <w:ilvl w:val="0"/>
          <w:numId w:val="11"/>
        </w:numPr>
        <w:spacing w:before="120" w:after="120"/>
        <w:outlineLvl w:val="2"/>
        <w:rPr>
          <w:rFonts w:asciiTheme="minorHAnsi" w:eastAsia="Times New Roman" w:hAnsiTheme="minorHAnsi"/>
          <w:bCs/>
          <w:lang w:val="sk-SK"/>
        </w:rPr>
      </w:pPr>
      <w:r w:rsidRPr="008E00F3">
        <w:rPr>
          <w:rFonts w:asciiTheme="minorHAnsi" w:eastAsia="Times New Roman" w:hAnsiTheme="minorHAnsi"/>
          <w:bCs/>
          <w:lang w:val="sk-SK"/>
        </w:rPr>
        <w:t>b</w:t>
      </w:r>
      <w:r w:rsidR="00DD02C3" w:rsidRPr="008E00F3">
        <w:rPr>
          <w:rFonts w:asciiTheme="minorHAnsi" w:eastAsia="Times New Roman" w:hAnsiTheme="minorHAnsi"/>
          <w:bCs/>
          <w:lang w:val="sk-SK"/>
        </w:rPr>
        <w:t xml:space="preserve">enefity programu sú splatné alebo určené na starobu, dôchodok, smrť, </w:t>
      </w:r>
      <w:r w:rsidRPr="008E00F3">
        <w:rPr>
          <w:rFonts w:asciiTheme="minorHAnsi" w:eastAsia="Times New Roman" w:hAnsiTheme="minorHAnsi"/>
          <w:bCs/>
          <w:lang w:val="sk-SK"/>
        </w:rPr>
        <w:t>invaliditu</w:t>
      </w:r>
      <w:r w:rsidR="00DD02C3" w:rsidRPr="008E00F3">
        <w:rPr>
          <w:rFonts w:asciiTheme="minorHAnsi" w:eastAsia="Times New Roman" w:hAnsiTheme="minorHAnsi"/>
          <w:bCs/>
          <w:lang w:val="sk-SK"/>
        </w:rPr>
        <w:t xml:space="preserve"> a dožitie a nasledujúce benefity (ak sa poskytujú) sú</w:t>
      </w:r>
      <w:r w:rsidRPr="008E00F3">
        <w:rPr>
          <w:rFonts w:asciiTheme="minorHAnsi" w:eastAsia="Times New Roman" w:hAnsiTheme="minorHAnsi"/>
          <w:bCs/>
          <w:lang w:val="sk-SK"/>
        </w:rPr>
        <w:t xml:space="preserve"> </w:t>
      </w:r>
      <w:r w:rsidR="00DD02C3" w:rsidRPr="008E00F3">
        <w:rPr>
          <w:rFonts w:asciiTheme="minorHAnsi" w:eastAsia="Times New Roman" w:hAnsiTheme="minorHAnsi"/>
          <w:bCs/>
          <w:lang w:val="sk-SK"/>
        </w:rPr>
        <w:t>iba doplnkom k hlavnému benefitu:</w:t>
      </w:r>
    </w:p>
    <w:p w:rsidR="00DD02C3" w:rsidRPr="008E00F3" w:rsidRDefault="00E47368" w:rsidP="00DD02C3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/>
        <w:rPr>
          <w:rFonts w:asciiTheme="minorHAnsi" w:hAnsiTheme="minorHAnsi"/>
          <w:lang w:val="sk-SK"/>
        </w:rPr>
      </w:pPr>
      <w:r w:rsidRPr="008E00F3">
        <w:rPr>
          <w:rFonts w:asciiTheme="minorHAnsi" w:hAnsiTheme="minorHAnsi"/>
          <w:lang w:val="sk-SK"/>
        </w:rPr>
        <w:t>b</w:t>
      </w:r>
      <w:r w:rsidR="00DD02C3" w:rsidRPr="008E00F3">
        <w:rPr>
          <w:rFonts w:asciiTheme="minorHAnsi" w:hAnsiTheme="minorHAnsi"/>
          <w:lang w:val="sk-SK"/>
        </w:rPr>
        <w:t>enefity pri nezamestnanosti</w:t>
      </w:r>
      <w:r w:rsidRPr="008E00F3">
        <w:rPr>
          <w:rFonts w:asciiTheme="minorHAnsi" w:hAnsiTheme="minorHAnsi"/>
          <w:lang w:val="sk-SK"/>
        </w:rPr>
        <w:t>,</w:t>
      </w:r>
    </w:p>
    <w:p w:rsidR="00DD02C3" w:rsidRPr="008E00F3" w:rsidRDefault="00E47368" w:rsidP="00DD02C3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/>
        <w:rPr>
          <w:rFonts w:asciiTheme="minorHAnsi" w:hAnsiTheme="minorHAnsi"/>
          <w:lang w:val="sk-SK"/>
        </w:rPr>
      </w:pPr>
      <w:r w:rsidRPr="008E00F3">
        <w:rPr>
          <w:rFonts w:asciiTheme="minorHAnsi" w:hAnsiTheme="minorHAnsi"/>
          <w:lang w:val="sk-SK"/>
        </w:rPr>
        <w:t>l</w:t>
      </w:r>
      <w:r w:rsidR="00DD02C3" w:rsidRPr="008E00F3">
        <w:rPr>
          <w:rFonts w:asciiTheme="minorHAnsi" w:hAnsiTheme="minorHAnsi"/>
          <w:lang w:val="sk-SK"/>
        </w:rPr>
        <w:t>iečebné náklady</w:t>
      </w:r>
      <w:r w:rsidRPr="008E00F3">
        <w:rPr>
          <w:rFonts w:asciiTheme="minorHAnsi" w:hAnsiTheme="minorHAnsi"/>
          <w:lang w:val="sk-SK"/>
        </w:rPr>
        <w:t>,</w:t>
      </w:r>
    </w:p>
    <w:p w:rsidR="00DD02C3" w:rsidRPr="008E00F3" w:rsidRDefault="00E47368" w:rsidP="00DD02C3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/>
        <w:rPr>
          <w:rFonts w:asciiTheme="minorHAnsi" w:hAnsiTheme="minorHAnsi"/>
          <w:lang w:val="sk-SK"/>
        </w:rPr>
      </w:pPr>
      <w:r w:rsidRPr="008E00F3">
        <w:rPr>
          <w:rFonts w:asciiTheme="minorHAnsi" w:hAnsiTheme="minorHAnsi"/>
          <w:lang w:val="sk-SK"/>
        </w:rPr>
        <w:t>b</w:t>
      </w:r>
      <w:r w:rsidR="00DD02C3" w:rsidRPr="008E00F3">
        <w:rPr>
          <w:rFonts w:asciiTheme="minorHAnsi" w:hAnsiTheme="minorHAnsi"/>
          <w:lang w:val="sk-SK"/>
        </w:rPr>
        <w:t>enefity poskytnuté pri pracovných úrazoch alebo smrti alebo pri chorobách z</w:t>
      </w:r>
      <w:r w:rsidRPr="008E00F3">
        <w:rPr>
          <w:rFonts w:asciiTheme="minorHAnsi" w:hAnsiTheme="minorHAnsi"/>
          <w:lang w:val="sk-SK"/>
        </w:rPr>
        <w:t> </w:t>
      </w:r>
      <w:r w:rsidR="00DD02C3" w:rsidRPr="008E00F3">
        <w:rPr>
          <w:rFonts w:asciiTheme="minorHAnsi" w:hAnsiTheme="minorHAnsi"/>
          <w:lang w:val="sk-SK"/>
        </w:rPr>
        <w:t>povolania</w:t>
      </w:r>
      <w:r w:rsidRPr="008E00F3">
        <w:rPr>
          <w:rFonts w:asciiTheme="minorHAnsi" w:hAnsiTheme="minorHAnsi"/>
          <w:lang w:val="sk-SK"/>
        </w:rPr>
        <w:t>,</w:t>
      </w:r>
    </w:p>
    <w:p w:rsidR="00DD02C3" w:rsidRPr="008E00F3" w:rsidRDefault="00E47368" w:rsidP="00DD02C3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/>
        <w:rPr>
          <w:rFonts w:asciiTheme="minorHAnsi" w:hAnsiTheme="minorHAnsi"/>
          <w:lang w:val="sk-SK"/>
        </w:rPr>
      </w:pPr>
      <w:r w:rsidRPr="008E00F3">
        <w:rPr>
          <w:rFonts w:asciiTheme="minorHAnsi" w:hAnsiTheme="minorHAnsi"/>
          <w:lang w:val="sk-SK"/>
        </w:rPr>
        <w:t>k</w:t>
      </w:r>
      <w:r w:rsidR="00DD02C3" w:rsidRPr="008E00F3">
        <w:rPr>
          <w:rFonts w:asciiTheme="minorHAnsi" w:hAnsiTheme="minorHAnsi"/>
          <w:lang w:val="sk-SK"/>
        </w:rPr>
        <w:t xml:space="preserve">rátkodobé dávky sociálnej starostlivosti (napr. </w:t>
      </w:r>
      <w:r w:rsidRPr="008E00F3">
        <w:rPr>
          <w:rFonts w:asciiTheme="minorHAnsi" w:hAnsiTheme="minorHAnsi"/>
          <w:lang w:val="sk-SK"/>
        </w:rPr>
        <w:t>s</w:t>
      </w:r>
      <w:r w:rsidR="00DD02C3" w:rsidRPr="008E00F3">
        <w:rPr>
          <w:rFonts w:asciiTheme="minorHAnsi" w:hAnsiTheme="minorHAnsi"/>
          <w:lang w:val="sk-SK"/>
        </w:rPr>
        <w:t>travné lístky)</w:t>
      </w:r>
      <w:r w:rsidRPr="008E00F3">
        <w:rPr>
          <w:rFonts w:asciiTheme="minorHAnsi" w:hAnsiTheme="minorHAnsi"/>
          <w:lang w:val="sk-SK"/>
        </w:rPr>
        <w:t>,</w:t>
      </w:r>
    </w:p>
    <w:p w:rsidR="00DD02C3" w:rsidRPr="008E00F3" w:rsidRDefault="00E47368" w:rsidP="00DD02C3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/>
        <w:rPr>
          <w:rFonts w:asciiTheme="minorHAnsi" w:hAnsiTheme="minorHAnsi"/>
          <w:lang w:val="sk-SK"/>
        </w:rPr>
      </w:pPr>
      <w:r w:rsidRPr="008E00F3">
        <w:rPr>
          <w:rFonts w:asciiTheme="minorHAnsi" w:hAnsiTheme="minorHAnsi"/>
          <w:lang w:val="sk-SK"/>
        </w:rPr>
        <w:t>b</w:t>
      </w:r>
      <w:r w:rsidR="00DD02C3" w:rsidRPr="008E00F3">
        <w:rPr>
          <w:rFonts w:asciiTheme="minorHAnsi" w:hAnsiTheme="minorHAnsi"/>
          <w:lang w:val="sk-SK"/>
        </w:rPr>
        <w:t>enefity poskytované ako pomoc pri katastrofách (napr. poistenie alebo financovanie obnovy pri povodniach, suchu, hurikáne / tajfúne, zemetrasení / tsunami) a</w:t>
      </w:r>
    </w:p>
    <w:p w:rsidR="00DD02C3" w:rsidRPr="008E00F3" w:rsidRDefault="00E47368" w:rsidP="00DD02C3">
      <w:pPr>
        <w:numPr>
          <w:ilvl w:val="1"/>
          <w:numId w:val="11"/>
        </w:numPr>
        <w:spacing w:before="120" w:after="120"/>
        <w:outlineLvl w:val="2"/>
        <w:rPr>
          <w:rFonts w:asciiTheme="minorHAnsi" w:eastAsia="Times New Roman" w:hAnsiTheme="minorHAnsi"/>
          <w:bCs/>
          <w:lang w:val="sk-SK"/>
        </w:rPr>
      </w:pPr>
      <w:r w:rsidRPr="008E00F3">
        <w:rPr>
          <w:rFonts w:asciiTheme="minorHAnsi" w:hAnsiTheme="minorHAnsi"/>
          <w:lang w:val="sk-SK"/>
        </w:rPr>
        <w:t>f</w:t>
      </w:r>
      <w:r w:rsidR="00DD02C3" w:rsidRPr="008E00F3">
        <w:rPr>
          <w:rFonts w:asciiTheme="minorHAnsi" w:hAnsiTheme="minorHAnsi"/>
          <w:lang w:val="sk-SK"/>
        </w:rPr>
        <w:t>inančné poistenie alebo finančné záruky (napríklad pre úvery, bankové vklady, výplaty dôchodkov, finančné cenné papiere, platieb poistného od nesolventných poisťovní)</w:t>
      </w:r>
    </w:p>
    <w:p w:rsidR="008C379C" w:rsidRPr="008E00F3" w:rsidRDefault="008C379C" w:rsidP="008C379C">
      <w:pPr>
        <w:spacing w:before="120" w:after="120"/>
        <w:jc w:val="both"/>
        <w:rPr>
          <w:rFonts w:asciiTheme="minorHAnsi" w:hAnsiTheme="minorHAnsi"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  <w:lang w:val="sk-SK"/>
        </w:rPr>
        <w:t>Smernica Solventnosť II</w:t>
      </w:r>
      <w:r w:rsidRPr="008E00F3">
        <w:rPr>
          <w:rFonts w:asciiTheme="minorHAnsi" w:hAnsiTheme="minorHAnsi"/>
          <w:lang w:val="sk-SK"/>
        </w:rPr>
        <w:t xml:space="preserve"> </w:t>
      </w:r>
      <w:r w:rsidR="003C3AD6" w:rsidRPr="008E00F3">
        <w:rPr>
          <w:rFonts w:asciiTheme="minorHAnsi" w:eastAsia="Times New Roman" w:hAnsiTheme="minorHAnsi"/>
          <w:b/>
          <w:bCs/>
          <w:iCs/>
          <w:lang w:val="sk-SK"/>
        </w:rPr>
        <w:t xml:space="preserve">(PŠ 4) </w:t>
      </w:r>
      <w:r w:rsidRPr="008E00F3">
        <w:rPr>
          <w:rFonts w:asciiTheme="minorHAnsi" w:hAnsiTheme="minorHAnsi"/>
          <w:lang w:val="sk-SK"/>
        </w:rPr>
        <w:t xml:space="preserve">– </w:t>
      </w:r>
      <w:r w:rsidR="005B070C" w:rsidRPr="008E00F3">
        <w:rPr>
          <w:rFonts w:asciiTheme="minorHAnsi" w:hAnsiTheme="minorHAnsi"/>
          <w:lang w:val="sk-SK"/>
        </w:rPr>
        <w:t>smernica 2009/138/ES</w:t>
      </w:r>
    </w:p>
    <w:p w:rsidR="00DD02C3" w:rsidRPr="008E00F3" w:rsidRDefault="00DD02C3" w:rsidP="00DD02C3">
      <w:pPr>
        <w:pStyle w:val="Godfrey"/>
        <w:jc w:val="both"/>
        <w:rPr>
          <w:rFonts w:asciiTheme="minorHAnsi" w:hAnsiTheme="minorHAnsi"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  <w:lang w:val="sk-SK"/>
        </w:rPr>
        <w:t>Správa</w:t>
      </w:r>
      <w:r w:rsidRPr="008E00F3">
        <w:rPr>
          <w:rFonts w:asciiTheme="minorHAnsi" w:hAnsiTheme="minorHAnsi"/>
          <w:b/>
          <w:lang w:val="sk-SK"/>
        </w:rPr>
        <w:t xml:space="preserve"> </w:t>
      </w:r>
      <w:r w:rsidRPr="008E00F3">
        <w:rPr>
          <w:rFonts w:asciiTheme="minorHAnsi" w:eastAsia="Times New Roman" w:hAnsiTheme="minorHAnsi"/>
          <w:b/>
          <w:bCs/>
          <w:iCs/>
          <w:szCs w:val="28"/>
          <w:lang w:val="sk-SK"/>
        </w:rPr>
        <w:t xml:space="preserve">(PŠ 1, 2, 3) </w:t>
      </w:r>
      <w:r w:rsidR="00E47368" w:rsidRPr="008E00F3">
        <w:rPr>
          <w:rFonts w:asciiTheme="minorHAnsi" w:hAnsiTheme="minorHAnsi"/>
          <w:lang w:val="sk-SK"/>
        </w:rPr>
        <w:t xml:space="preserve">– </w:t>
      </w:r>
      <w:r w:rsidR="005B070C" w:rsidRPr="008E00F3">
        <w:rPr>
          <w:rFonts w:asciiTheme="minorHAnsi" w:hAnsiTheme="minorHAnsi"/>
          <w:lang w:val="sk-SK"/>
        </w:rPr>
        <w:t>s</w:t>
      </w:r>
      <w:r w:rsidRPr="008E00F3">
        <w:rPr>
          <w:rFonts w:asciiTheme="minorHAnsi" w:hAnsiTheme="minorHAnsi"/>
          <w:lang w:val="sk-SK"/>
        </w:rPr>
        <w:t xml:space="preserve">práva 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aktuára</w:t>
      </w:r>
      <w:r w:rsidRPr="008E00F3">
        <w:rPr>
          <w:rFonts w:asciiTheme="minorHAnsi" w:hAnsiTheme="minorHAnsi"/>
          <w:lang w:val="sk-SK"/>
        </w:rPr>
        <w:t xml:space="preserve">, v ktorej prezentuje výsledky 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aktuárskych služieb</w:t>
      </w:r>
      <w:r w:rsidRPr="008E00F3">
        <w:rPr>
          <w:rFonts w:asciiTheme="minorHAnsi" w:hAnsiTheme="minorHAnsi"/>
          <w:lang w:val="sk-SK"/>
        </w:rPr>
        <w:t xml:space="preserve"> 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určenému užívateľovi</w:t>
      </w:r>
      <w:r w:rsidRPr="008E00F3">
        <w:rPr>
          <w:rFonts w:asciiTheme="minorHAnsi" w:hAnsiTheme="minorHAnsi"/>
          <w:lang w:val="sk-SK"/>
        </w:rPr>
        <w:t xml:space="preserve"> zaznamenaná v akejkoľvek forme, a to papierovej forme, vo forme súboru textového editora alebo tabuľkového procesora, elektronickej pošty, webovej stránky, prezentácie, audio alebo video záznamu. </w:t>
      </w:r>
      <w:bookmarkStart w:id="5" w:name="report"/>
      <w:bookmarkStart w:id="6" w:name="Reporting_entity"/>
      <w:bookmarkEnd w:id="5"/>
      <w:bookmarkEnd w:id="6"/>
      <w:r w:rsidR="00CA28DC" w:rsidRPr="008E00F3">
        <w:rPr>
          <w:rFonts w:asciiTheme="minorHAnsi" w:hAnsiTheme="minorHAnsi"/>
          <w:lang w:val="sk-SK"/>
        </w:rPr>
        <w:t xml:space="preserve">V PŠ 1 použitý aj pojem </w:t>
      </w:r>
      <w:r w:rsidR="00CA28DC" w:rsidRPr="008E00F3">
        <w:rPr>
          <w:rStyle w:val="Hyperlink"/>
          <w:rFonts w:asciiTheme="minorHAnsi" w:hAnsiTheme="minorHAnsi"/>
          <w:b/>
          <w:u w:color="0000FF"/>
          <w:lang w:val="sk-SK"/>
        </w:rPr>
        <w:t>report</w:t>
      </w:r>
      <w:r w:rsidR="00CA28DC" w:rsidRPr="008E00F3">
        <w:rPr>
          <w:rFonts w:asciiTheme="minorHAnsi" w:hAnsiTheme="minorHAnsi"/>
          <w:lang w:val="sk-SK"/>
        </w:rPr>
        <w:t>.</w:t>
      </w:r>
    </w:p>
    <w:p w:rsidR="00DD02C3" w:rsidRPr="008E00F3" w:rsidRDefault="00CA28DC" w:rsidP="00DD02C3">
      <w:pPr>
        <w:spacing w:before="120" w:after="120"/>
        <w:jc w:val="both"/>
        <w:rPr>
          <w:rFonts w:asciiTheme="minorHAnsi" w:hAnsiTheme="minorHAnsi"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  <w:lang w:val="sk-SK"/>
        </w:rPr>
        <w:t xml:space="preserve">Správa </w:t>
      </w:r>
      <w:r w:rsidR="00DD02C3" w:rsidRPr="008E00F3">
        <w:rPr>
          <w:rStyle w:val="Hyperlink"/>
          <w:rFonts w:asciiTheme="minorHAnsi" w:hAnsiTheme="minorHAnsi"/>
          <w:b/>
          <w:u w:color="0000FF"/>
          <w:lang w:val="sk-SK"/>
        </w:rPr>
        <w:t xml:space="preserve">aktuárskej funkcie </w:t>
      </w:r>
      <w:r w:rsidR="00DD02C3" w:rsidRPr="008E00F3">
        <w:rPr>
          <w:rFonts w:asciiTheme="minorHAnsi" w:hAnsiTheme="minorHAnsi"/>
          <w:b/>
          <w:lang w:val="sk-SK"/>
        </w:rPr>
        <w:t>(</w:t>
      </w:r>
      <w:r w:rsidR="00DD02C3" w:rsidRPr="008E00F3">
        <w:rPr>
          <w:rStyle w:val="Hyperlink"/>
          <w:rFonts w:asciiTheme="minorHAnsi" w:hAnsiTheme="minorHAnsi"/>
          <w:b/>
          <w:u w:color="0000FF"/>
          <w:lang w:val="sk-SK"/>
        </w:rPr>
        <w:t>SAF</w:t>
      </w:r>
      <w:r w:rsidR="00DD02C3" w:rsidRPr="008E00F3">
        <w:rPr>
          <w:rFonts w:asciiTheme="minorHAnsi" w:hAnsiTheme="minorHAnsi"/>
          <w:b/>
          <w:lang w:val="sk-SK"/>
        </w:rPr>
        <w:t>)</w:t>
      </w:r>
      <w:r w:rsidR="00DD02C3" w:rsidRPr="008E00F3">
        <w:rPr>
          <w:rFonts w:asciiTheme="minorHAnsi" w:hAnsiTheme="minorHAnsi"/>
          <w:lang w:val="sk-SK"/>
        </w:rPr>
        <w:t xml:space="preserve"> </w:t>
      </w:r>
      <w:r w:rsidR="00DD02C3" w:rsidRPr="008E00F3">
        <w:rPr>
          <w:rFonts w:asciiTheme="minorHAnsi" w:eastAsia="Times New Roman" w:hAnsiTheme="minorHAnsi"/>
          <w:b/>
          <w:bCs/>
          <w:iCs/>
          <w:lang w:val="sk-SK"/>
        </w:rPr>
        <w:t xml:space="preserve">(PŠ 4) </w:t>
      </w:r>
      <w:r w:rsidR="005B070C" w:rsidRPr="008E00F3">
        <w:rPr>
          <w:rFonts w:asciiTheme="minorHAnsi" w:hAnsiTheme="minorHAnsi"/>
          <w:lang w:val="sk-SK"/>
        </w:rPr>
        <w:t>– s</w:t>
      </w:r>
      <w:r w:rsidR="00DD02C3" w:rsidRPr="008E00F3">
        <w:rPr>
          <w:rFonts w:asciiTheme="minorHAnsi" w:hAnsiTheme="minorHAnsi"/>
          <w:lang w:val="sk-SK"/>
        </w:rPr>
        <w:t>práva aktuárskej funkcie pre administratívny, riadiaci a dozorný orgán (AMSB)</w:t>
      </w:r>
      <w:r w:rsidR="00DD02C3" w:rsidRPr="008E00F3" w:rsidDel="006A3FF0">
        <w:rPr>
          <w:rFonts w:asciiTheme="minorHAnsi" w:hAnsiTheme="minorHAnsi"/>
          <w:lang w:val="sk-SK"/>
        </w:rPr>
        <w:t xml:space="preserve"> </w:t>
      </w:r>
      <w:r w:rsidR="00DD02C3" w:rsidRPr="008E00F3">
        <w:rPr>
          <w:rFonts w:asciiTheme="minorHAnsi" w:hAnsiTheme="minorHAnsi"/>
          <w:lang w:val="sk-SK"/>
        </w:rPr>
        <w:t xml:space="preserve">podľa článku 45 </w:t>
      </w:r>
      <w:r w:rsidR="00DD02C3" w:rsidRPr="008E00F3">
        <w:rPr>
          <w:rStyle w:val="Hyperlink"/>
          <w:rFonts w:asciiTheme="minorHAnsi" w:hAnsiTheme="minorHAnsi"/>
          <w:u w:color="0000FF"/>
          <w:lang w:val="sk-SK"/>
        </w:rPr>
        <w:t>Smernice Solventnosť II</w:t>
      </w:r>
      <w:r w:rsidR="00DD02C3" w:rsidRPr="008E00F3">
        <w:rPr>
          <w:rFonts w:asciiTheme="minorHAnsi" w:hAnsiTheme="minorHAnsi"/>
          <w:lang w:val="sk-SK"/>
        </w:rPr>
        <w:t xml:space="preserve"> a súvisiacich právnych predpisov, štandardov a usmernení. SAF môže obsahovať niekoľko častí, ktoré môžu byť vydané v rôznych dňoch. </w:t>
      </w:r>
    </w:p>
    <w:p w:rsidR="00DD02C3" w:rsidRPr="008E00F3" w:rsidRDefault="00DD02C3" w:rsidP="00DD02C3">
      <w:pPr>
        <w:spacing w:before="120" w:after="120"/>
        <w:jc w:val="both"/>
        <w:rPr>
          <w:rStyle w:val="Hyperlink"/>
          <w:rFonts w:asciiTheme="minorHAnsi" w:hAnsiTheme="minorHAnsi"/>
          <w:u w:color="0000FF"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  <w:lang w:val="sk-SK"/>
        </w:rPr>
        <w:t>Spoločnosť</w:t>
      </w:r>
      <w:r w:rsidRPr="008E00F3">
        <w:rPr>
          <w:rFonts w:asciiTheme="minorHAnsi" w:hAnsiTheme="minorHAnsi"/>
          <w:lang w:val="sk-SK"/>
        </w:rPr>
        <w:t xml:space="preserve"> </w:t>
      </w:r>
      <w:r w:rsidRPr="008E00F3">
        <w:rPr>
          <w:rFonts w:asciiTheme="minorHAnsi" w:eastAsia="Times New Roman" w:hAnsiTheme="minorHAnsi"/>
          <w:b/>
          <w:bCs/>
          <w:iCs/>
          <w:lang w:val="sk-SK"/>
        </w:rPr>
        <w:t xml:space="preserve">(PŠ 4) </w:t>
      </w:r>
      <w:r w:rsidRPr="008E00F3">
        <w:rPr>
          <w:rFonts w:asciiTheme="minorHAnsi" w:hAnsiTheme="minorHAnsi"/>
          <w:lang w:val="sk-SK"/>
        </w:rPr>
        <w:t xml:space="preserve">– poisťovňa alebo zaisťovňa, ktorá má oprávnenie vykonávať poistnú alebo zaistnú činnosť v súlade s článkom 14 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Smernice Solventnosť II</w:t>
      </w:r>
    </w:p>
    <w:p w:rsidR="00DD02C3" w:rsidRPr="008E00F3" w:rsidRDefault="00DD02C3" w:rsidP="00DD02C3">
      <w:pPr>
        <w:pStyle w:val="Godfrey"/>
        <w:jc w:val="both"/>
        <w:rPr>
          <w:rFonts w:asciiTheme="minorHAnsi" w:hAnsiTheme="minorHAnsi"/>
          <w:lang w:val="sk-SK"/>
        </w:rPr>
      </w:pPr>
      <w:bookmarkStart w:id="7" w:name="Law"/>
      <w:r w:rsidRPr="008E00F3">
        <w:rPr>
          <w:rStyle w:val="Hyperlink"/>
          <w:rFonts w:asciiTheme="minorHAnsi" w:hAnsiTheme="minorHAnsi"/>
          <w:b/>
          <w:u w:color="0000FF"/>
          <w:lang w:val="sk-SK"/>
        </w:rPr>
        <w:t>Stanovisko</w:t>
      </w:r>
      <w:r w:rsidRPr="008E00F3">
        <w:rPr>
          <w:rFonts w:asciiTheme="minorHAnsi" w:hAnsiTheme="minorHAnsi"/>
          <w:b/>
          <w:lang w:val="sk-SK"/>
        </w:rPr>
        <w:t xml:space="preserve"> </w:t>
      </w:r>
      <w:r w:rsidRPr="008E00F3">
        <w:rPr>
          <w:rFonts w:asciiTheme="minorHAnsi" w:eastAsia="Times New Roman" w:hAnsiTheme="minorHAnsi"/>
          <w:b/>
          <w:bCs/>
          <w:iCs/>
          <w:szCs w:val="28"/>
          <w:lang w:val="sk-SK"/>
        </w:rPr>
        <w:t xml:space="preserve">(PŠ 2, 3) </w:t>
      </w:r>
      <w:r w:rsidR="005B070C" w:rsidRPr="008E00F3">
        <w:rPr>
          <w:rFonts w:asciiTheme="minorHAnsi" w:hAnsiTheme="minorHAnsi"/>
          <w:lang w:val="sk-SK"/>
        </w:rPr>
        <w:t>– s</w:t>
      </w:r>
      <w:r w:rsidRPr="008E00F3">
        <w:rPr>
          <w:rFonts w:asciiTheme="minorHAnsi" w:hAnsiTheme="minorHAnsi"/>
          <w:lang w:val="sk-SK"/>
        </w:rPr>
        <w:t xml:space="preserve">tanovisko vyjadrené 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aktuárom</w:t>
      </w:r>
      <w:r w:rsidRPr="008E00F3">
        <w:rPr>
          <w:rFonts w:asciiTheme="minorHAnsi" w:hAnsiTheme="minorHAnsi"/>
          <w:lang w:val="sk-SK"/>
        </w:rPr>
        <w:t xml:space="preserve">, na ktoré sa 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určení užívatelia</w:t>
      </w:r>
      <w:r w:rsidRPr="008E00F3">
        <w:rPr>
          <w:rFonts w:asciiTheme="minorHAnsi" w:hAnsiTheme="minorHAnsi"/>
          <w:lang w:val="sk-SK"/>
        </w:rPr>
        <w:t xml:space="preserve"> môžu odvolávať</w:t>
      </w:r>
      <w:bookmarkEnd w:id="7"/>
    </w:p>
    <w:p w:rsidR="00DD02C3" w:rsidRPr="008E00F3" w:rsidRDefault="00DD02C3" w:rsidP="00DD02C3">
      <w:pPr>
        <w:spacing w:before="120" w:after="120"/>
        <w:jc w:val="both"/>
        <w:rPr>
          <w:rFonts w:asciiTheme="minorHAnsi" w:hAnsiTheme="minorHAnsi"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  <w:lang w:val="sk-SK"/>
        </w:rPr>
        <w:t>Technické rezervy</w:t>
      </w:r>
      <w:r w:rsidRPr="008E00F3">
        <w:rPr>
          <w:rFonts w:asciiTheme="minorHAnsi" w:hAnsiTheme="minorHAnsi"/>
          <w:lang w:val="sk-SK"/>
        </w:rPr>
        <w:t xml:space="preserve"> </w:t>
      </w:r>
      <w:r w:rsidRPr="008E00F3">
        <w:rPr>
          <w:rFonts w:asciiTheme="minorHAnsi" w:eastAsia="Times New Roman" w:hAnsiTheme="minorHAnsi"/>
          <w:b/>
          <w:bCs/>
          <w:iCs/>
          <w:lang w:val="sk-SK"/>
        </w:rPr>
        <w:t xml:space="preserve">(PŠ 4) </w:t>
      </w:r>
      <w:r w:rsidR="005B070C" w:rsidRPr="008E00F3">
        <w:rPr>
          <w:rFonts w:asciiTheme="minorHAnsi" w:hAnsiTheme="minorHAnsi"/>
          <w:lang w:val="sk-SK"/>
        </w:rPr>
        <w:t>– technické rezervy spoločnosti</w:t>
      </w:r>
      <w:r w:rsidRPr="008E00F3">
        <w:rPr>
          <w:rFonts w:asciiTheme="minorHAnsi" w:hAnsiTheme="minorHAnsi"/>
          <w:lang w:val="sk-SK"/>
        </w:rPr>
        <w:t xml:space="preserve"> vypočítané podľa zásad oceňovania 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Smernice Solventnosť II</w:t>
      </w:r>
      <w:r w:rsidR="005B070C" w:rsidRPr="008E00F3">
        <w:rPr>
          <w:rFonts w:asciiTheme="minorHAnsi" w:hAnsiTheme="minorHAnsi"/>
          <w:lang w:val="sk-SK"/>
        </w:rPr>
        <w:t xml:space="preserve"> (články 75 až 86)</w:t>
      </w:r>
    </w:p>
    <w:p w:rsidR="00763C18" w:rsidRPr="008E00F3" w:rsidRDefault="00763C18" w:rsidP="00763C18">
      <w:pPr>
        <w:jc w:val="both"/>
        <w:rPr>
          <w:rFonts w:asciiTheme="minorHAnsi" w:hAnsiTheme="minorHAnsi"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  <w:lang w:val="sk-SK"/>
        </w:rPr>
        <w:lastRenderedPageBreak/>
        <w:t>Upisovanie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 xml:space="preserve"> </w:t>
      </w:r>
      <w:r w:rsidRPr="008E00F3">
        <w:rPr>
          <w:rFonts w:asciiTheme="minorHAnsi" w:eastAsia="Times New Roman" w:hAnsiTheme="minorHAnsi"/>
          <w:b/>
          <w:bCs/>
          <w:iCs/>
          <w:lang w:val="sk-SK"/>
        </w:rPr>
        <w:t xml:space="preserve">(PŠ 4) </w:t>
      </w:r>
      <w:r w:rsidRPr="008E00F3">
        <w:rPr>
          <w:rFonts w:asciiTheme="minorHAnsi" w:hAnsiTheme="minorHAnsi"/>
          <w:lang w:val="sk-SK"/>
        </w:rPr>
        <w:t>– proces určovania, hodnotenia a ocenenia poistných alebo zaistných rizík, vrátane prijatia alebo zamietnutia pois</w:t>
      </w:r>
      <w:r w:rsidR="005B070C" w:rsidRPr="008E00F3">
        <w:rPr>
          <w:rFonts w:asciiTheme="minorHAnsi" w:hAnsiTheme="minorHAnsi"/>
          <w:lang w:val="sk-SK"/>
        </w:rPr>
        <w:t>tných alebo zaistných záväzkov</w:t>
      </w:r>
    </w:p>
    <w:p w:rsidR="00763C18" w:rsidRPr="008E00F3" w:rsidRDefault="00763C18" w:rsidP="00763C18">
      <w:pPr>
        <w:pStyle w:val="ISAP"/>
        <w:jc w:val="both"/>
        <w:rPr>
          <w:rFonts w:asciiTheme="minorHAnsi" w:hAnsiTheme="minorHAnsi"/>
          <w:b/>
          <w:lang w:val="sk-SK"/>
        </w:rPr>
      </w:pPr>
      <w:r w:rsidRPr="008E00F3">
        <w:rPr>
          <w:rStyle w:val="Hyperlink"/>
          <w:rFonts w:asciiTheme="minorHAnsi" w:hAnsiTheme="minorHAnsi"/>
          <w:b/>
          <w:szCs w:val="24"/>
          <w:u w:color="0000FF"/>
          <w:lang w:val="sk-SK"/>
        </w:rPr>
        <w:t>Určený užívateľ</w:t>
      </w:r>
      <w:r w:rsidRPr="008E00F3">
        <w:rPr>
          <w:rFonts w:asciiTheme="minorHAnsi" w:eastAsia="Times New Roman" w:hAnsiTheme="minorHAnsi"/>
          <w:b/>
          <w:bCs/>
          <w:iCs/>
          <w:szCs w:val="28"/>
          <w:lang w:val="sk-SK"/>
        </w:rPr>
        <w:t xml:space="preserve"> (PŠ 1, 2, 3) – </w:t>
      </w:r>
      <w:r w:rsidRPr="008E00F3">
        <w:rPr>
          <w:rFonts w:asciiTheme="minorHAnsi" w:eastAsia="Times New Roman" w:hAnsiTheme="minorHAnsi"/>
          <w:bCs/>
          <w:iCs/>
          <w:szCs w:val="28"/>
          <w:lang w:val="sk-SK"/>
        </w:rPr>
        <w:t xml:space="preserve">akákoľvek právnická alebo fyzická osoba </w:t>
      </w:r>
      <w:r w:rsidRPr="008E00F3">
        <w:rPr>
          <w:rFonts w:asciiTheme="minorHAnsi" w:hAnsiTheme="minorHAnsi"/>
          <w:lang w:val="sk-SK"/>
        </w:rPr>
        <w:t xml:space="preserve">(obvykle </w:t>
      </w:r>
      <w:hyperlink w:anchor="Principal" w:history="1">
        <w:r w:rsidRPr="008E00F3">
          <w:rPr>
            <w:rStyle w:val="Hyperlink"/>
            <w:rFonts w:asciiTheme="minorHAnsi" w:hAnsiTheme="minorHAnsi"/>
            <w:szCs w:val="24"/>
            <w:u w:color="0000FF"/>
            <w:lang w:val="sk-SK"/>
          </w:rPr>
          <w:t>za</w:t>
        </w:r>
      </w:hyperlink>
      <w:r w:rsidRPr="008E00F3">
        <w:rPr>
          <w:rStyle w:val="Hyperlink"/>
          <w:rFonts w:asciiTheme="minorHAnsi" w:hAnsiTheme="minorHAnsi"/>
          <w:szCs w:val="24"/>
          <w:u w:color="0000FF"/>
          <w:lang w:val="sk-SK"/>
        </w:rPr>
        <w:t>dávateľ</w:t>
      </w:r>
      <w:r w:rsidRPr="008E00F3">
        <w:rPr>
          <w:rFonts w:asciiTheme="minorHAnsi" w:hAnsiTheme="minorHAnsi"/>
          <w:color w:val="000000"/>
          <w:u w:val="dotted"/>
          <w:lang w:val="sk-SK"/>
        </w:rPr>
        <w:t>)</w:t>
      </w:r>
      <w:r w:rsidR="005B070C" w:rsidRPr="008E00F3">
        <w:rPr>
          <w:rFonts w:asciiTheme="minorHAnsi" w:hAnsiTheme="minorHAnsi"/>
          <w:color w:val="000000"/>
          <w:u w:val="dotted"/>
          <w:lang w:val="sk-SK"/>
        </w:rPr>
        <w:t>,</w:t>
      </w:r>
      <w:r w:rsidRPr="008E00F3">
        <w:rPr>
          <w:rFonts w:asciiTheme="minorHAnsi" w:hAnsiTheme="minorHAnsi"/>
          <w:lang w:val="sk-SK"/>
        </w:rPr>
        <w:t xml:space="preserve"> </w:t>
      </w:r>
      <w:r w:rsidRPr="008E00F3">
        <w:rPr>
          <w:rFonts w:asciiTheme="minorHAnsi" w:eastAsia="Times New Roman" w:hAnsiTheme="minorHAnsi"/>
          <w:bCs/>
          <w:iCs/>
          <w:szCs w:val="28"/>
          <w:lang w:val="sk-SK"/>
        </w:rPr>
        <w:t xml:space="preserve">ktorú </w:t>
      </w:r>
      <w:hyperlink w:anchor="actuary" w:history="1">
        <w:r w:rsidRPr="008E00F3">
          <w:rPr>
            <w:rStyle w:val="Hyperlink"/>
            <w:rFonts w:asciiTheme="minorHAnsi" w:hAnsiTheme="minorHAnsi"/>
            <w:szCs w:val="24"/>
            <w:u w:color="0000FF"/>
            <w:lang w:val="sk-SK"/>
          </w:rPr>
          <w:t>aktuár</w:t>
        </w:r>
      </w:hyperlink>
      <w:r w:rsidRPr="008E00F3">
        <w:rPr>
          <w:rFonts w:asciiTheme="minorHAnsi" w:eastAsia="Times New Roman" w:hAnsiTheme="minorHAnsi"/>
          <w:bCs/>
          <w:iCs/>
          <w:color w:val="000000"/>
          <w:szCs w:val="28"/>
          <w:lang w:val="sk-SK"/>
        </w:rPr>
        <w:t xml:space="preserve"> </w:t>
      </w:r>
      <w:r w:rsidRPr="008E00F3">
        <w:rPr>
          <w:rFonts w:asciiTheme="minorHAnsi" w:eastAsia="Times New Roman" w:hAnsiTheme="minorHAnsi"/>
          <w:bCs/>
          <w:iCs/>
          <w:szCs w:val="28"/>
          <w:lang w:val="sk-SK"/>
        </w:rPr>
        <w:t xml:space="preserve">v čase, keď vykonáva </w:t>
      </w:r>
      <w:hyperlink w:anchor="actuarial_services" w:history="1">
        <w:r w:rsidRPr="008E00F3">
          <w:rPr>
            <w:rStyle w:val="Hyperlink"/>
            <w:rFonts w:asciiTheme="minorHAnsi" w:hAnsiTheme="minorHAnsi"/>
            <w:szCs w:val="24"/>
            <w:u w:color="0000FF"/>
            <w:lang w:val="sk-SK"/>
          </w:rPr>
          <w:t>aktuárske služby</w:t>
        </w:r>
      </w:hyperlink>
      <w:r w:rsidRPr="008E00F3">
        <w:rPr>
          <w:rFonts w:asciiTheme="minorHAnsi" w:eastAsia="Times New Roman" w:hAnsiTheme="minorHAnsi"/>
          <w:bCs/>
          <w:iCs/>
          <w:color w:val="000000"/>
          <w:szCs w:val="28"/>
          <w:lang w:val="sk-SK"/>
        </w:rPr>
        <w:t xml:space="preserve"> považuje za užívateľa</w:t>
      </w:r>
      <w:r w:rsidRPr="008E00F3">
        <w:rPr>
          <w:rFonts w:asciiTheme="minorHAnsi" w:eastAsia="Times New Roman" w:hAnsiTheme="minorHAnsi"/>
          <w:bCs/>
          <w:iCs/>
          <w:szCs w:val="28"/>
          <w:lang w:val="sk-SK"/>
        </w:rPr>
        <w:t xml:space="preserve"> </w:t>
      </w:r>
      <w:hyperlink w:anchor="report" w:history="1">
        <w:r w:rsidRPr="008E00F3">
          <w:rPr>
            <w:rStyle w:val="Hyperlink"/>
            <w:rFonts w:asciiTheme="minorHAnsi" w:hAnsiTheme="minorHAnsi"/>
            <w:szCs w:val="24"/>
            <w:u w:color="0000FF"/>
            <w:lang w:val="sk-SK"/>
          </w:rPr>
          <w:t>správy</w:t>
        </w:r>
      </w:hyperlink>
    </w:p>
    <w:p w:rsidR="008C379C" w:rsidRPr="008E00F3" w:rsidRDefault="008C379C" w:rsidP="00DD02C3">
      <w:pPr>
        <w:spacing w:before="120" w:after="120"/>
        <w:jc w:val="both"/>
        <w:rPr>
          <w:rFonts w:asciiTheme="minorHAnsi" w:hAnsiTheme="minorHAnsi"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  <w:lang w:val="sk-SK"/>
        </w:rPr>
        <w:t>Účelovo vytvorený subjekt</w:t>
      </w:r>
      <w:r w:rsidRPr="008E00F3">
        <w:rPr>
          <w:rFonts w:asciiTheme="minorHAnsi" w:hAnsiTheme="minorHAnsi"/>
          <w:lang w:val="sk-SK"/>
        </w:rPr>
        <w:t xml:space="preserve"> </w:t>
      </w:r>
      <w:r w:rsidR="003C3AD6" w:rsidRPr="008E00F3">
        <w:rPr>
          <w:rFonts w:asciiTheme="minorHAnsi" w:eastAsia="Times New Roman" w:hAnsiTheme="minorHAnsi"/>
          <w:b/>
          <w:bCs/>
          <w:iCs/>
          <w:lang w:val="sk-SK"/>
        </w:rPr>
        <w:t xml:space="preserve">(PŠ 4) </w:t>
      </w:r>
      <w:r w:rsidRPr="008E00F3">
        <w:rPr>
          <w:rFonts w:asciiTheme="minorHAnsi" w:hAnsiTheme="minorHAnsi"/>
          <w:lang w:val="sk-SK"/>
        </w:rPr>
        <w:t>– akákoľvek spoločnosť, integrovaná alebo neintegrovaná, iná ako už existujúca poisťovňa alebo zaisťovňa, ktorá na seba preberá riziká poisťovne alebo zaisťovne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,</w:t>
      </w:r>
      <w:r w:rsidRPr="008E00F3">
        <w:rPr>
          <w:rFonts w:asciiTheme="minorHAnsi" w:hAnsiTheme="minorHAnsi"/>
          <w:lang w:val="sk-SK"/>
        </w:rPr>
        <w:t xml:space="preserve"> a ktorá v plnej miere financuje svoje vystavenie sa takýmto rizikám cez procesy vydania dlžoby alebo iným finančným mechanizmom, kde sú práva splatenia poskytovateľov takejto dlžoby alebo iného finančného mechanizmu podriadené zaisť</w:t>
      </w:r>
      <w:r w:rsidR="005B070C" w:rsidRPr="008E00F3">
        <w:rPr>
          <w:rFonts w:asciiTheme="minorHAnsi" w:hAnsiTheme="minorHAnsi"/>
          <w:lang w:val="sk-SK"/>
        </w:rPr>
        <w:t>ovacím záväzko</w:t>
      </w:r>
      <w:bookmarkStart w:id="8" w:name="_GoBack"/>
      <w:bookmarkEnd w:id="8"/>
      <w:r w:rsidR="005B070C" w:rsidRPr="008E00F3">
        <w:rPr>
          <w:rFonts w:asciiTheme="minorHAnsi" w:hAnsiTheme="minorHAnsi"/>
          <w:lang w:val="sk-SK"/>
        </w:rPr>
        <w:t>m takého subjektu</w:t>
      </w:r>
    </w:p>
    <w:p w:rsidR="00CA28DC" w:rsidRPr="008E00F3" w:rsidRDefault="00763C18" w:rsidP="00DD02C3">
      <w:pPr>
        <w:spacing w:before="120" w:after="120"/>
        <w:jc w:val="both"/>
        <w:rPr>
          <w:rFonts w:asciiTheme="minorHAnsi" w:hAnsiTheme="minorHAnsi"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  <w:lang w:val="sk-SK"/>
        </w:rPr>
        <w:t>Účtovná jednotka</w:t>
      </w:r>
      <w:r w:rsidRPr="008E00F3">
        <w:rPr>
          <w:rFonts w:asciiTheme="minorHAnsi" w:hAnsiTheme="minorHAnsi"/>
          <w:b/>
          <w:lang w:val="sk-SK"/>
        </w:rPr>
        <w:t xml:space="preserve"> (PŠ 1, 2)</w:t>
      </w:r>
      <w:r w:rsidRPr="008E00F3">
        <w:rPr>
          <w:rFonts w:asciiTheme="minorHAnsi" w:hAnsiTheme="minorHAnsi"/>
          <w:lang w:val="sk-SK"/>
        </w:rPr>
        <w:t xml:space="preserve"> – je predmet </w:t>
      </w:r>
      <w:r w:rsidRPr="008E00F3">
        <w:rPr>
          <w:rStyle w:val="Hyperlink"/>
          <w:rFonts w:asciiTheme="minorHAnsi" w:hAnsiTheme="minorHAnsi"/>
          <w:u w:color="0000FF"/>
        </w:rPr>
        <w:t>aktuárskych služieb</w:t>
      </w:r>
      <w:r w:rsidRPr="008E00F3">
        <w:rPr>
          <w:rFonts w:asciiTheme="minorHAnsi" w:hAnsiTheme="minorHAnsi"/>
          <w:lang w:val="sk-SK"/>
        </w:rPr>
        <w:t>, či už ako celok alebo ako jej časť. Účtovná jednotka zahŕňa obchodnú spoločnosť, poisťovateľa, penzijnú spoločnosť</w:t>
      </w:r>
      <w:r w:rsidR="005B070C" w:rsidRPr="008E00F3">
        <w:rPr>
          <w:rFonts w:asciiTheme="minorHAnsi" w:hAnsiTheme="minorHAnsi"/>
          <w:lang w:val="sk-SK"/>
        </w:rPr>
        <w:t>,</w:t>
      </w:r>
      <w:r w:rsidRPr="008E00F3">
        <w:rPr>
          <w:rFonts w:asciiTheme="minorHAnsi" w:hAnsiTheme="minorHAnsi"/>
          <w:lang w:val="sk-SK"/>
        </w:rPr>
        <w:t xml:space="preserve"> prípadne poskytovateľa dôchodkov, spoločnosti poskytujúce sociálne platby, jednotlivca, štátne organizácie alebo agentúry, skupinu, atď. </w:t>
      </w:r>
    </w:p>
    <w:p w:rsidR="00DD02C3" w:rsidRPr="008E00F3" w:rsidRDefault="00DD02C3" w:rsidP="00DD02C3">
      <w:pPr>
        <w:spacing w:before="120" w:after="120"/>
        <w:jc w:val="both"/>
        <w:rPr>
          <w:rFonts w:asciiTheme="minorHAnsi" w:hAnsiTheme="minorHAnsi"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  <w:lang w:val="sk-SK"/>
        </w:rPr>
        <w:t>Údaje</w:t>
      </w:r>
      <w:r w:rsidRPr="008E00F3">
        <w:rPr>
          <w:rFonts w:asciiTheme="minorHAnsi" w:hAnsiTheme="minorHAnsi"/>
          <w:lang w:val="sk-SK"/>
        </w:rPr>
        <w:t xml:space="preserve"> </w:t>
      </w:r>
      <w:r w:rsidRPr="008E00F3">
        <w:rPr>
          <w:rFonts w:asciiTheme="minorHAnsi" w:eastAsia="Times New Roman" w:hAnsiTheme="minorHAnsi"/>
          <w:b/>
          <w:bCs/>
          <w:iCs/>
          <w:lang w:val="sk-SK"/>
        </w:rPr>
        <w:t xml:space="preserve">(PŠ 4) </w:t>
      </w:r>
      <w:r w:rsidRPr="008E00F3">
        <w:rPr>
          <w:rFonts w:asciiTheme="minorHAnsi" w:hAnsiTheme="minorHAnsi"/>
          <w:lang w:val="sk-SK"/>
        </w:rPr>
        <w:t>– všetky typy kvantitatívnych a kvalitatívnych informácií a dát (napr. údaje o poistných zmluvách, aktuárskych predpokladoch, expertné úsudky atď</w:t>
      </w:r>
      <w:r w:rsidR="005B070C" w:rsidRPr="008E00F3">
        <w:rPr>
          <w:rFonts w:asciiTheme="minorHAnsi" w:hAnsiTheme="minorHAnsi"/>
          <w:lang w:val="sk-SK"/>
        </w:rPr>
        <w:t>.</w:t>
      </w:r>
      <w:r w:rsidRPr="008E00F3">
        <w:rPr>
          <w:rFonts w:asciiTheme="minorHAnsi" w:hAnsiTheme="minorHAnsi"/>
          <w:lang w:val="sk-SK"/>
        </w:rPr>
        <w:t>)</w:t>
      </w:r>
    </w:p>
    <w:p w:rsidR="00763C18" w:rsidRPr="008E00F3" w:rsidRDefault="00763C18" w:rsidP="00763C18">
      <w:pPr>
        <w:autoSpaceDE w:val="0"/>
        <w:autoSpaceDN w:val="0"/>
        <w:adjustRightInd w:val="0"/>
        <w:jc w:val="both"/>
        <w:rPr>
          <w:rFonts w:asciiTheme="minorHAnsi" w:hAnsiTheme="minorHAnsi"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  <w:lang w:val="sk-SK"/>
        </w:rPr>
        <w:t>Účtovná politika</w:t>
      </w:r>
      <w:r w:rsidRPr="008E00F3">
        <w:rPr>
          <w:rFonts w:asciiTheme="minorHAnsi" w:hAnsiTheme="minorHAnsi"/>
          <w:iCs/>
          <w:lang w:val="sk-SK"/>
        </w:rPr>
        <w:t xml:space="preserve"> </w:t>
      </w:r>
      <w:r w:rsidRPr="008E00F3">
        <w:rPr>
          <w:rFonts w:asciiTheme="minorHAnsi" w:hAnsiTheme="minorHAnsi"/>
          <w:b/>
          <w:lang w:val="sk-SK"/>
        </w:rPr>
        <w:t>(PŠ 3)</w:t>
      </w:r>
      <w:r w:rsidRPr="008E00F3">
        <w:rPr>
          <w:rFonts w:asciiTheme="minorHAnsi" w:hAnsiTheme="minorHAnsi"/>
          <w:lang w:val="sk-SK"/>
        </w:rPr>
        <w:t xml:space="preserve"> </w:t>
      </w:r>
      <w:r w:rsidRPr="008E00F3">
        <w:rPr>
          <w:rFonts w:asciiTheme="minorHAnsi" w:hAnsiTheme="minorHAnsi"/>
          <w:b/>
          <w:lang w:val="sk-SK"/>
        </w:rPr>
        <w:t xml:space="preserve">– </w:t>
      </w:r>
      <w:r w:rsidRPr="008E00F3">
        <w:rPr>
          <w:rFonts w:asciiTheme="minorHAnsi" w:hAnsiTheme="minorHAnsi"/>
          <w:lang w:val="sk-SK"/>
        </w:rPr>
        <w:t xml:space="preserve">ako je definované </w:t>
      </w:r>
      <w:r w:rsidRPr="008E00F3">
        <w:rPr>
          <w:rFonts w:asciiTheme="minorHAnsi" w:hAnsiTheme="minorHAnsi"/>
          <w:i/>
          <w:lang w:val="sk-SK"/>
        </w:rPr>
        <w:t>Výborom pre Medzinárodné účtovné štandardy</w:t>
      </w:r>
      <w:r w:rsidRPr="008E00F3">
        <w:rPr>
          <w:rFonts w:asciiTheme="minorHAnsi" w:hAnsiTheme="minorHAnsi"/>
          <w:lang w:val="sk-SK"/>
        </w:rPr>
        <w:t xml:space="preserve"> (IASB) v paragrafe 5 </w:t>
      </w:r>
      <w:r w:rsidRPr="008E00F3">
        <w:rPr>
          <w:rFonts w:asciiTheme="minorHAnsi" w:hAnsiTheme="minorHAnsi"/>
          <w:i/>
          <w:lang w:val="sk-SK"/>
        </w:rPr>
        <w:t>IAS 8</w:t>
      </w:r>
      <w:r w:rsidRPr="008E00F3">
        <w:rPr>
          <w:rFonts w:asciiTheme="minorHAnsi" w:hAnsiTheme="minorHAnsi"/>
          <w:lang w:val="sk-SK"/>
        </w:rPr>
        <w:t xml:space="preserve"> </w:t>
      </w:r>
      <w:r w:rsidRPr="008E00F3">
        <w:rPr>
          <w:rFonts w:asciiTheme="minorHAnsi" w:hAnsiTheme="minorHAnsi"/>
          <w:i/>
          <w:color w:val="252525"/>
          <w:shd w:val="clear" w:color="auto" w:fill="FFFFFF"/>
          <w:lang w:val="sk-SK"/>
        </w:rPr>
        <w:t>Účtovná politika, zmeny v účtovných odhadoch a chyby</w:t>
      </w:r>
      <w:r w:rsidRPr="008E00F3">
        <w:rPr>
          <w:rFonts w:asciiTheme="minorHAnsi" w:hAnsiTheme="minorHAnsi"/>
          <w:lang w:val="sk-SK"/>
        </w:rPr>
        <w:t xml:space="preserve"> „</w:t>
      </w:r>
      <w:r w:rsidRPr="008E00F3">
        <w:rPr>
          <w:rFonts w:asciiTheme="minorHAnsi" w:hAnsiTheme="minorHAnsi"/>
          <w:i/>
          <w:iCs/>
          <w:lang w:val="sk-SK"/>
        </w:rPr>
        <w:t xml:space="preserve">Účtovná politika </w:t>
      </w:r>
      <w:r w:rsidRPr="008E00F3">
        <w:rPr>
          <w:rFonts w:asciiTheme="minorHAnsi" w:hAnsiTheme="minorHAnsi"/>
          <w:i/>
          <w:lang w:val="sk-SK"/>
        </w:rPr>
        <w:t>sú špecifické princípy, východiská, konvencie, pravidlá a praktiky, ktoré účtovná jednotka uplatňuje  pri zostavovaní a prezentácii účtovnej závierky.</w:t>
      </w:r>
      <w:r w:rsidRPr="008E00F3">
        <w:rPr>
          <w:rFonts w:asciiTheme="minorHAnsi" w:hAnsiTheme="minorHAnsi"/>
          <w:lang w:val="sk-SK"/>
        </w:rPr>
        <w:t>”</w:t>
      </w:r>
      <w:bookmarkStart w:id="9" w:name="actuarial_services"/>
    </w:p>
    <w:bookmarkEnd w:id="9"/>
    <w:p w:rsidR="00DD02C3" w:rsidRPr="008E00F3" w:rsidRDefault="00DD02C3" w:rsidP="00DD02C3">
      <w:pPr>
        <w:pStyle w:val="Godfrey"/>
        <w:jc w:val="both"/>
        <w:rPr>
          <w:rFonts w:asciiTheme="minorHAnsi" w:hAnsiTheme="minorHAnsi"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  <w:lang w:val="sk-SK"/>
        </w:rPr>
        <w:t>Vykazujúca jednotka</w:t>
      </w:r>
      <w:r w:rsidRPr="008E00F3">
        <w:rPr>
          <w:rFonts w:asciiTheme="minorHAnsi" w:hAnsiTheme="minorHAnsi"/>
          <w:b/>
          <w:lang w:val="sk-SK"/>
        </w:rPr>
        <w:t xml:space="preserve"> (PŠ 3) </w:t>
      </w:r>
      <w:r w:rsidRPr="008E00F3">
        <w:rPr>
          <w:rFonts w:asciiTheme="minorHAnsi" w:hAnsiTheme="minorHAnsi"/>
          <w:lang w:val="sk-SK"/>
        </w:rPr>
        <w:t>ako je definované podľa IASB</w:t>
      </w:r>
      <w:r w:rsidRPr="008E00F3" w:rsidDel="00BF0DD8">
        <w:rPr>
          <w:rFonts w:asciiTheme="minorHAnsi" w:hAnsiTheme="minorHAnsi"/>
          <w:b/>
          <w:lang w:val="sk-SK"/>
        </w:rPr>
        <w:t xml:space="preserve"> </w:t>
      </w:r>
      <w:r w:rsidRPr="008E00F3">
        <w:rPr>
          <w:rFonts w:asciiTheme="minorHAnsi" w:hAnsiTheme="minorHAnsi"/>
          <w:b/>
          <w:lang w:val="sk-SK"/>
        </w:rPr>
        <w:t xml:space="preserve">v </w:t>
      </w:r>
      <w:r w:rsidRPr="008E00F3">
        <w:rPr>
          <w:rFonts w:asciiTheme="minorHAnsi" w:hAnsiTheme="minorHAnsi"/>
          <w:lang w:val="sk-SK"/>
        </w:rPr>
        <w:t xml:space="preserve">odseku 8 </w:t>
      </w:r>
      <w:r w:rsidRPr="008E00F3">
        <w:rPr>
          <w:rFonts w:asciiTheme="minorHAnsi" w:hAnsiTheme="minorHAnsi"/>
          <w:i/>
          <w:lang w:val="sk-SK"/>
        </w:rPr>
        <w:t>Koncepčného rámca prípravy a prezentácie účtovnej závierky</w:t>
      </w:r>
      <w:r w:rsidRPr="008E00F3">
        <w:rPr>
          <w:rFonts w:asciiTheme="minorHAnsi" w:hAnsiTheme="minorHAnsi"/>
          <w:lang w:val="sk-SK"/>
        </w:rPr>
        <w:t>, prijatého v</w:t>
      </w:r>
      <w:r w:rsidR="005B070C" w:rsidRPr="008E00F3">
        <w:rPr>
          <w:rFonts w:asciiTheme="minorHAnsi" w:hAnsiTheme="minorHAnsi"/>
          <w:lang w:val="sk-SK"/>
        </w:rPr>
        <w:t xml:space="preserve"> apríli 2001:</w:t>
      </w:r>
      <w:r w:rsidR="00824DE6" w:rsidRPr="008E00F3">
        <w:rPr>
          <w:rFonts w:asciiTheme="minorHAnsi" w:hAnsiTheme="minorHAnsi"/>
          <w:lang w:val="sk-SK"/>
        </w:rPr>
        <w:t xml:space="preserve"> „</w:t>
      </w:r>
      <w:r w:rsidR="005B070C" w:rsidRPr="008E00F3">
        <w:rPr>
          <w:rFonts w:asciiTheme="minorHAnsi" w:hAnsiTheme="minorHAnsi"/>
          <w:i/>
          <w:lang w:val="sk-SK"/>
        </w:rPr>
        <w:t xml:space="preserve">účtovná jednotka, </w:t>
      </w:r>
      <w:r w:rsidRPr="008E00F3">
        <w:rPr>
          <w:rFonts w:asciiTheme="minorHAnsi" w:hAnsiTheme="minorHAnsi"/>
          <w:i/>
          <w:lang w:val="sk-SK"/>
        </w:rPr>
        <w:t>vo vzťahu ku ktorej existujú používatelia, ktorí sa spoliehajú na účtovnú závierku ako hlavný zdroj finančných informácií o danej účtovnej jednotke</w:t>
      </w:r>
      <w:r w:rsidRPr="008E00F3">
        <w:rPr>
          <w:rFonts w:asciiTheme="minorHAnsi" w:hAnsiTheme="minorHAnsi"/>
          <w:lang w:val="sk-SK"/>
        </w:rPr>
        <w:t>”</w:t>
      </w:r>
    </w:p>
    <w:p w:rsidR="00DD02C3" w:rsidRPr="008E00F3" w:rsidRDefault="00DD02C3" w:rsidP="00DD02C3">
      <w:pPr>
        <w:pStyle w:val="ISAP"/>
        <w:rPr>
          <w:rFonts w:asciiTheme="minorHAnsi" w:hAnsiTheme="minorHAnsi"/>
          <w:szCs w:val="24"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  <w:lang w:val="sk-SK"/>
        </w:rPr>
        <w:t>Zadanie</w:t>
      </w:r>
      <w:r w:rsidRPr="008E00F3">
        <w:rPr>
          <w:rFonts w:asciiTheme="minorHAnsi" w:hAnsiTheme="minorHAnsi"/>
          <w:szCs w:val="24"/>
          <w:lang w:val="sk-SK"/>
        </w:rPr>
        <w:t xml:space="preserve"> </w:t>
      </w:r>
      <w:r w:rsidRPr="008E00F3">
        <w:rPr>
          <w:rFonts w:asciiTheme="minorHAnsi" w:eastAsia="Times New Roman" w:hAnsiTheme="minorHAnsi"/>
          <w:b/>
          <w:szCs w:val="24"/>
          <w:lang w:val="sk-SK"/>
        </w:rPr>
        <w:t xml:space="preserve">(PŠ 1, 2, 3) </w:t>
      </w:r>
      <w:r w:rsidRPr="008E00F3">
        <w:rPr>
          <w:rFonts w:asciiTheme="minorHAnsi" w:hAnsiTheme="minorHAnsi"/>
          <w:szCs w:val="24"/>
          <w:lang w:val="sk-SK"/>
        </w:rPr>
        <w:t xml:space="preserve">– všetky aktuárske aktivity vykonané </w:t>
      </w:r>
      <w:r w:rsidRPr="008E00F3">
        <w:rPr>
          <w:rStyle w:val="Hyperlink"/>
          <w:rFonts w:asciiTheme="minorHAnsi" w:hAnsiTheme="minorHAnsi"/>
          <w:u w:color="0000FF"/>
        </w:rPr>
        <w:t>aktuárom</w:t>
      </w:r>
      <w:r w:rsidRPr="008E00F3">
        <w:rPr>
          <w:rFonts w:asciiTheme="minorHAnsi" w:hAnsiTheme="minorHAnsi"/>
          <w:szCs w:val="24"/>
          <w:lang w:val="sk-SK"/>
        </w:rPr>
        <w:t xml:space="preserve"> týkajúce sa </w:t>
      </w:r>
      <w:r w:rsidRPr="008E00F3">
        <w:rPr>
          <w:rStyle w:val="Hyperlink"/>
          <w:rFonts w:asciiTheme="minorHAnsi" w:hAnsiTheme="minorHAnsi"/>
          <w:u w:color="0000FF"/>
        </w:rPr>
        <w:t>aktuárskych služieb</w:t>
      </w:r>
      <w:r w:rsidRPr="008E00F3">
        <w:rPr>
          <w:rFonts w:asciiTheme="minorHAnsi" w:hAnsiTheme="minorHAnsi"/>
          <w:szCs w:val="24"/>
          <w:lang w:val="sk-SK"/>
        </w:rPr>
        <w:t>. Zvyčajne to zahŕňa získavanie v</w:t>
      </w:r>
      <w:r w:rsidR="005B070C" w:rsidRPr="008E00F3">
        <w:rPr>
          <w:rFonts w:asciiTheme="minorHAnsi" w:hAnsiTheme="minorHAnsi"/>
          <w:szCs w:val="24"/>
          <w:lang w:val="sk-SK"/>
        </w:rPr>
        <w:t xml:space="preserve">edomostí o podmienkach zadania, </w:t>
      </w:r>
      <w:r w:rsidRPr="008E00F3">
        <w:rPr>
          <w:rFonts w:asciiTheme="minorHAnsi" w:hAnsiTheme="minorHAnsi"/>
          <w:szCs w:val="24"/>
          <w:lang w:val="sk-SK"/>
        </w:rPr>
        <w:t>získavanie dos</w:t>
      </w:r>
      <w:r w:rsidR="005B070C" w:rsidRPr="008E00F3">
        <w:rPr>
          <w:rFonts w:asciiTheme="minorHAnsi" w:hAnsiTheme="minorHAnsi"/>
          <w:szCs w:val="24"/>
          <w:lang w:val="sk-SK"/>
        </w:rPr>
        <w:t>tatočných a spoľahlivých údajov,</w:t>
      </w:r>
      <w:r w:rsidRPr="008E00F3">
        <w:rPr>
          <w:rFonts w:asciiTheme="minorHAnsi" w:hAnsiTheme="minorHAnsi"/>
          <w:szCs w:val="24"/>
          <w:lang w:val="sk-SK"/>
        </w:rPr>
        <w:t xml:space="preserve"> výber predpokladov a metodológie, výpočty, a posú</w:t>
      </w:r>
      <w:r w:rsidR="005B070C" w:rsidRPr="008E00F3">
        <w:rPr>
          <w:rFonts w:asciiTheme="minorHAnsi" w:hAnsiTheme="minorHAnsi"/>
          <w:szCs w:val="24"/>
          <w:lang w:val="sk-SK"/>
        </w:rPr>
        <w:t>denie primeranosti ich výsledku, použitie práce iných osôb,</w:t>
      </w:r>
      <w:r w:rsidRPr="008E00F3">
        <w:rPr>
          <w:rFonts w:asciiTheme="minorHAnsi" w:hAnsiTheme="minorHAnsi"/>
          <w:szCs w:val="24"/>
          <w:lang w:val="sk-SK"/>
        </w:rPr>
        <w:t xml:space="preserve"> formuláciu názoru a</w:t>
      </w:r>
      <w:r w:rsidR="005B070C" w:rsidRPr="008E00F3">
        <w:rPr>
          <w:rFonts w:asciiTheme="minorHAnsi" w:hAnsiTheme="minorHAnsi"/>
          <w:szCs w:val="24"/>
          <w:lang w:val="sk-SK"/>
        </w:rPr>
        <w:t> </w:t>
      </w:r>
      <w:r w:rsidRPr="008E00F3">
        <w:rPr>
          <w:rFonts w:asciiTheme="minorHAnsi" w:hAnsiTheme="minorHAnsi"/>
          <w:szCs w:val="24"/>
          <w:lang w:val="sk-SK"/>
        </w:rPr>
        <w:t>rady</w:t>
      </w:r>
      <w:r w:rsidR="005B070C" w:rsidRPr="008E00F3">
        <w:rPr>
          <w:rFonts w:asciiTheme="minorHAnsi" w:hAnsiTheme="minorHAnsi"/>
          <w:szCs w:val="24"/>
          <w:lang w:val="sk-SK"/>
        </w:rPr>
        <w:t>,</w:t>
      </w:r>
      <w:r w:rsidRPr="008E00F3">
        <w:rPr>
          <w:rFonts w:asciiTheme="minorHAnsi" w:hAnsiTheme="minorHAnsi"/>
          <w:szCs w:val="24"/>
          <w:lang w:val="sk-SK"/>
        </w:rPr>
        <w:t xml:space="preserve"> dokumentá</w:t>
      </w:r>
      <w:r w:rsidR="005B070C" w:rsidRPr="008E00F3">
        <w:rPr>
          <w:rFonts w:asciiTheme="minorHAnsi" w:hAnsiTheme="minorHAnsi"/>
          <w:szCs w:val="24"/>
          <w:lang w:val="sk-SK"/>
        </w:rPr>
        <w:t>ciu. reportovanie</w:t>
      </w:r>
      <w:r w:rsidRPr="008E00F3">
        <w:rPr>
          <w:rFonts w:asciiTheme="minorHAnsi" w:hAnsiTheme="minorHAnsi"/>
          <w:szCs w:val="24"/>
          <w:lang w:val="sk-SK"/>
        </w:rPr>
        <w:t xml:space="preserve"> a akúkoľvek inú </w:t>
      </w:r>
      <w:r w:rsidRPr="008E00F3">
        <w:rPr>
          <w:rStyle w:val="Hyperlink"/>
          <w:rFonts w:asciiTheme="minorHAnsi" w:hAnsiTheme="minorHAnsi"/>
          <w:u w:color="0000FF"/>
        </w:rPr>
        <w:t>komunikáciu</w:t>
      </w:r>
      <w:r w:rsidRPr="008E00F3">
        <w:rPr>
          <w:rFonts w:asciiTheme="minorHAnsi" w:hAnsiTheme="minorHAnsi"/>
          <w:szCs w:val="24"/>
          <w:lang w:val="sk-SK"/>
        </w:rPr>
        <w:t>.</w:t>
      </w:r>
    </w:p>
    <w:p w:rsidR="00DD02C3" w:rsidRPr="008E00F3" w:rsidRDefault="00DD02C3" w:rsidP="00DD02C3">
      <w:pPr>
        <w:pStyle w:val="ISAP"/>
        <w:jc w:val="both"/>
        <w:rPr>
          <w:rFonts w:asciiTheme="minorHAnsi" w:hAnsiTheme="minorHAnsi"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  <w:lang w:val="sk-SK"/>
        </w:rPr>
        <w:t>Zadávateľ</w:t>
      </w:r>
      <w:r w:rsidRPr="008E00F3">
        <w:rPr>
          <w:rFonts w:asciiTheme="minorHAnsi" w:hAnsiTheme="minorHAnsi"/>
          <w:b/>
          <w:lang w:val="sk-SK"/>
        </w:rPr>
        <w:t xml:space="preserve"> </w:t>
      </w:r>
      <w:r w:rsidRPr="008E00F3">
        <w:rPr>
          <w:rFonts w:asciiTheme="minorHAnsi" w:eastAsia="Times New Roman" w:hAnsiTheme="minorHAnsi"/>
          <w:b/>
          <w:lang w:val="sk-SK"/>
        </w:rPr>
        <w:t xml:space="preserve">(PŠ 1, 2, 3) </w:t>
      </w:r>
      <w:r w:rsidRPr="008E00F3">
        <w:rPr>
          <w:rFonts w:asciiTheme="minorHAnsi" w:hAnsiTheme="minorHAnsi"/>
          <w:b/>
          <w:lang w:val="sk-SK"/>
        </w:rPr>
        <w:t xml:space="preserve">– </w:t>
      </w:r>
      <w:r w:rsidR="005B070C" w:rsidRPr="008E00F3">
        <w:rPr>
          <w:rFonts w:asciiTheme="minorHAnsi" w:hAnsiTheme="minorHAnsi"/>
          <w:lang w:val="sk-SK"/>
        </w:rPr>
        <w:t>t</w:t>
      </w:r>
      <w:r w:rsidRPr="008E00F3">
        <w:rPr>
          <w:rFonts w:asciiTheme="minorHAnsi" w:hAnsiTheme="minorHAnsi"/>
          <w:lang w:val="sk-SK"/>
        </w:rPr>
        <w:t xml:space="preserve">en, kto požaduje </w:t>
      </w:r>
      <w:r w:rsidRPr="008E00F3">
        <w:rPr>
          <w:rStyle w:val="Hyperlink"/>
          <w:rFonts w:asciiTheme="minorHAnsi" w:hAnsiTheme="minorHAnsi"/>
          <w:u w:color="0000FF"/>
        </w:rPr>
        <w:t>aktuárske služby</w:t>
      </w:r>
      <w:r w:rsidRPr="008E00F3">
        <w:rPr>
          <w:rFonts w:asciiTheme="minorHAnsi" w:hAnsiTheme="minorHAnsi"/>
          <w:lang w:val="sk-SK"/>
        </w:rPr>
        <w:t>. Zadávateľom je zvyčajne aktuárov klient alebo zamestnávateľ.</w:t>
      </w:r>
    </w:p>
    <w:p w:rsidR="00DD02C3" w:rsidRPr="008E00F3" w:rsidRDefault="00DD02C3" w:rsidP="00DD02C3">
      <w:pPr>
        <w:spacing w:before="120" w:after="120"/>
        <w:jc w:val="both"/>
        <w:rPr>
          <w:rFonts w:asciiTheme="minorHAnsi" w:hAnsiTheme="minorHAnsi"/>
          <w:lang w:val="sk-SK"/>
        </w:rPr>
      </w:pPr>
      <w:r w:rsidRPr="008E00F3">
        <w:rPr>
          <w:rStyle w:val="Hyperlink"/>
          <w:rFonts w:asciiTheme="minorHAnsi" w:hAnsiTheme="minorHAnsi"/>
          <w:b/>
          <w:szCs w:val="20"/>
          <w:u w:color="0000FF"/>
          <w:lang w:val="sk-SK"/>
        </w:rPr>
        <w:t>Zákon</w:t>
      </w:r>
      <w:r w:rsidRPr="008E00F3">
        <w:rPr>
          <w:rFonts w:asciiTheme="minorHAnsi" w:eastAsia="Times New Roman" w:hAnsiTheme="minorHAnsi"/>
          <w:b/>
          <w:lang w:val="sk-SK"/>
        </w:rPr>
        <w:t xml:space="preserve"> (PŠ 1, 2, 3) – </w:t>
      </w:r>
      <w:r w:rsidR="005B070C" w:rsidRPr="008E00F3">
        <w:rPr>
          <w:rFonts w:asciiTheme="minorHAnsi" w:eastAsia="Times New Roman" w:hAnsiTheme="minorHAnsi"/>
          <w:lang w:val="sk-SK"/>
        </w:rPr>
        <w:t>p</w:t>
      </w:r>
      <w:r w:rsidRPr="008E00F3">
        <w:rPr>
          <w:rFonts w:asciiTheme="minorHAnsi" w:eastAsia="Times New Roman" w:hAnsiTheme="minorHAnsi"/>
          <w:lang w:val="sk-SK"/>
        </w:rPr>
        <w:t>latné zákony, štatúty, predpisy alebo akékoľvek iné záväzné nariadenia (ako napríklad účtovné štandardy a iné regulačné pok</w:t>
      </w:r>
      <w:r w:rsidR="005B070C" w:rsidRPr="008E00F3">
        <w:rPr>
          <w:rFonts w:asciiTheme="minorHAnsi" w:eastAsia="Times New Roman" w:hAnsiTheme="minorHAnsi"/>
          <w:lang w:val="sk-SK"/>
        </w:rPr>
        <w:t>yny, ktoré sú účinné a záväzné)</w:t>
      </w:r>
      <w:r w:rsidRPr="008E00F3">
        <w:rPr>
          <w:rFonts w:asciiTheme="minorHAnsi" w:hAnsiTheme="minorHAnsi"/>
          <w:lang w:val="sk-SK"/>
        </w:rPr>
        <w:t xml:space="preserve"> </w:t>
      </w:r>
    </w:p>
    <w:p w:rsidR="00763C18" w:rsidRPr="008E00F3" w:rsidRDefault="00763C18" w:rsidP="00763C18">
      <w:pPr>
        <w:pStyle w:val="ISAP"/>
        <w:jc w:val="both"/>
        <w:rPr>
          <w:rFonts w:asciiTheme="minorHAnsi" w:hAnsiTheme="minorHAnsi"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  <w:lang w:val="sk-SK"/>
        </w:rPr>
        <w:t>Zamestnanecké požitky</w:t>
      </w:r>
      <w:r w:rsidRPr="008E00F3">
        <w:rPr>
          <w:rFonts w:asciiTheme="minorHAnsi" w:hAnsiTheme="minorHAnsi"/>
          <w:b/>
          <w:lang w:val="sk-SK"/>
        </w:rPr>
        <w:t xml:space="preserve"> (PŠ 3</w:t>
      </w:r>
      <w:r w:rsidRPr="008E00F3">
        <w:rPr>
          <w:rFonts w:asciiTheme="minorHAnsi" w:hAnsiTheme="minorHAnsi"/>
          <w:lang w:val="sk-SK"/>
        </w:rPr>
        <w:t xml:space="preserve">) – ako je definované podľa IASB v paragrafe 8 </w:t>
      </w:r>
      <w:r w:rsidRPr="008E00F3">
        <w:rPr>
          <w:rFonts w:asciiTheme="minorHAnsi" w:hAnsiTheme="minorHAnsi"/>
          <w:i/>
          <w:lang w:val="sk-SK"/>
        </w:rPr>
        <w:t>IAS 19</w:t>
      </w:r>
      <w:r w:rsidRPr="008E00F3">
        <w:rPr>
          <w:rFonts w:asciiTheme="minorHAnsi" w:hAnsiTheme="minorHAnsi"/>
          <w:lang w:val="sk-SK"/>
        </w:rPr>
        <w:t xml:space="preserve"> </w:t>
      </w:r>
      <w:r w:rsidRPr="008E00F3">
        <w:rPr>
          <w:rFonts w:asciiTheme="minorHAnsi" w:hAnsiTheme="minorHAnsi"/>
          <w:i/>
          <w:lang w:val="sk-SK"/>
        </w:rPr>
        <w:t>Zamestnanecké požitky</w:t>
      </w:r>
      <w:r w:rsidRPr="008E00F3">
        <w:rPr>
          <w:rFonts w:asciiTheme="minorHAnsi" w:hAnsiTheme="minorHAnsi"/>
          <w:lang w:val="sk-SK"/>
        </w:rPr>
        <w:t>, ktorý bol aktualizovaný v Septembri 2014: „</w:t>
      </w:r>
      <w:r w:rsidRPr="008E00F3">
        <w:rPr>
          <w:rFonts w:asciiTheme="minorHAnsi" w:hAnsiTheme="minorHAnsi"/>
          <w:i/>
          <w:lang w:val="sk-SK"/>
        </w:rPr>
        <w:t>sú všetky formy protihodnôt poskytovaných účtovnou jednotkou výmenou za služby poskytované zamestnancami alebo za ukončenie pracovného pomeru</w:t>
      </w:r>
      <w:r w:rsidRPr="008E00F3">
        <w:rPr>
          <w:rFonts w:asciiTheme="minorHAnsi" w:hAnsiTheme="minorHAnsi"/>
          <w:lang w:val="sk-SK"/>
        </w:rPr>
        <w:t>“</w:t>
      </w:r>
    </w:p>
    <w:p w:rsidR="00DD02C3" w:rsidRPr="008E00F3" w:rsidRDefault="00DD02C3" w:rsidP="00DD02C3">
      <w:pPr>
        <w:pStyle w:val="ISAP"/>
        <w:jc w:val="both"/>
        <w:rPr>
          <w:rFonts w:asciiTheme="minorHAnsi" w:hAnsiTheme="minorHAnsi"/>
          <w:szCs w:val="24"/>
          <w:lang w:val="sk-SK"/>
        </w:rPr>
      </w:pPr>
      <w:r w:rsidRPr="008E00F3">
        <w:rPr>
          <w:rStyle w:val="Hyperlink"/>
          <w:rFonts w:asciiTheme="minorHAnsi" w:hAnsiTheme="minorHAnsi"/>
          <w:b/>
          <w:u w:color="0000FF"/>
          <w:lang w:val="sk-SK"/>
        </w:rPr>
        <w:lastRenderedPageBreak/>
        <w:t>Zaužívaná aktuárska prax</w:t>
      </w:r>
      <w:r w:rsidRPr="008E00F3">
        <w:rPr>
          <w:rFonts w:asciiTheme="minorHAnsi" w:hAnsiTheme="minorHAnsi"/>
          <w:b/>
          <w:szCs w:val="24"/>
          <w:lang w:val="sk-SK"/>
        </w:rPr>
        <w:t xml:space="preserve"> </w:t>
      </w:r>
      <w:r w:rsidRPr="008E00F3">
        <w:rPr>
          <w:rFonts w:asciiTheme="minorHAnsi" w:eastAsia="Times New Roman" w:hAnsiTheme="minorHAnsi"/>
          <w:b/>
          <w:szCs w:val="24"/>
          <w:lang w:val="sk-SK"/>
        </w:rPr>
        <w:t xml:space="preserve">(PŠ 1, 2) </w:t>
      </w:r>
      <w:r w:rsidRPr="008E00F3">
        <w:rPr>
          <w:rFonts w:asciiTheme="minorHAnsi" w:hAnsiTheme="minorHAnsi"/>
          <w:b/>
          <w:szCs w:val="24"/>
          <w:lang w:val="sk-SK"/>
        </w:rPr>
        <w:t xml:space="preserve">– </w:t>
      </w:r>
      <w:r w:rsidR="005B070C" w:rsidRPr="008E00F3">
        <w:rPr>
          <w:rFonts w:asciiTheme="minorHAnsi" w:hAnsiTheme="minorHAnsi"/>
          <w:szCs w:val="24"/>
          <w:lang w:val="sk-SK"/>
        </w:rPr>
        <w:t>postup</w:t>
      </w:r>
      <w:r w:rsidRPr="008E00F3">
        <w:rPr>
          <w:rFonts w:asciiTheme="minorHAnsi" w:hAnsiTheme="minorHAnsi"/>
          <w:szCs w:val="24"/>
          <w:lang w:val="sk-SK"/>
        </w:rPr>
        <w:t xml:space="preserve"> alebo postupy, ktoré sú všeobecne uznávané v rámci aktuárskej profesie a sú primerané a vhodné na vykonanie </w:t>
      </w:r>
      <w:r w:rsidRPr="008E00F3">
        <w:rPr>
          <w:rStyle w:val="Hyperlink"/>
          <w:rFonts w:asciiTheme="minorHAnsi" w:hAnsiTheme="minorHAnsi"/>
          <w:u w:color="0000FF"/>
          <w:lang w:val="sk-SK"/>
        </w:rPr>
        <w:t>aktuárskych služieb</w:t>
      </w:r>
      <w:r w:rsidRPr="008E00F3">
        <w:rPr>
          <w:rFonts w:asciiTheme="minorHAnsi" w:hAnsiTheme="minorHAnsi"/>
          <w:szCs w:val="24"/>
          <w:lang w:val="sk-SK"/>
        </w:rPr>
        <w:t xml:space="preserve"> v zmysle PŠ pripadne príslušn</w:t>
      </w:r>
      <w:r w:rsidR="005B070C" w:rsidRPr="008E00F3">
        <w:rPr>
          <w:rFonts w:asciiTheme="minorHAnsi" w:hAnsiTheme="minorHAnsi"/>
          <w:szCs w:val="24"/>
          <w:lang w:val="sk-SK"/>
        </w:rPr>
        <w:t>ých štandardov aktuárskej práce</w:t>
      </w:r>
    </w:p>
    <w:p w:rsidR="008C379C" w:rsidRPr="008E00F3" w:rsidRDefault="008C379C" w:rsidP="00E059A7">
      <w:pPr>
        <w:pStyle w:val="ISAP"/>
        <w:rPr>
          <w:rFonts w:asciiTheme="minorHAnsi" w:hAnsiTheme="minorHAnsi"/>
          <w:szCs w:val="24"/>
          <w:lang w:val="sk-SK"/>
        </w:rPr>
      </w:pPr>
    </w:p>
    <w:sectPr w:rsidR="008C379C" w:rsidRPr="008E00F3" w:rsidSect="00E829B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112" w:rsidRDefault="00200112">
      <w:r>
        <w:separator/>
      </w:r>
    </w:p>
  </w:endnote>
  <w:endnote w:type="continuationSeparator" w:id="0">
    <w:p w:rsidR="00200112" w:rsidRDefault="00200112">
      <w:r>
        <w:continuationSeparator/>
      </w:r>
    </w:p>
  </w:endnote>
  <w:endnote w:type="continuationNotice" w:id="1">
    <w:p w:rsidR="00200112" w:rsidRDefault="002001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00" w:rsidRDefault="00B02E70">
    <w:pPr>
      <w:pStyle w:val="Footer"/>
      <w:jc w:val="center"/>
    </w:pPr>
    <w:r>
      <w:fldChar w:fldCharType="begin"/>
    </w:r>
    <w:r w:rsidR="00AB05C9">
      <w:instrText xml:space="preserve"> PAGE   \* MERGEFORMAT </w:instrText>
    </w:r>
    <w:r>
      <w:fldChar w:fldCharType="separate"/>
    </w:r>
    <w:r w:rsidR="008E00F3">
      <w:rPr>
        <w:noProof/>
      </w:rPr>
      <w:t>5</w:t>
    </w:r>
    <w:r>
      <w:rPr>
        <w:noProof/>
      </w:rPr>
      <w:fldChar w:fldCharType="end"/>
    </w:r>
  </w:p>
  <w:p w:rsidR="00752E00" w:rsidRDefault="00752E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00" w:rsidRDefault="00B02E70">
    <w:pPr>
      <w:pStyle w:val="Footer"/>
      <w:jc w:val="center"/>
    </w:pPr>
    <w:r>
      <w:fldChar w:fldCharType="begin"/>
    </w:r>
    <w:r w:rsidR="00AB05C9">
      <w:instrText xml:space="preserve"> PAGE   \* MERGEFORMAT </w:instrText>
    </w:r>
    <w:r>
      <w:fldChar w:fldCharType="separate"/>
    </w:r>
    <w:r w:rsidR="008E00F3">
      <w:rPr>
        <w:noProof/>
      </w:rPr>
      <w:t>1</w:t>
    </w:r>
    <w:r>
      <w:rPr>
        <w:noProof/>
      </w:rPr>
      <w:fldChar w:fldCharType="end"/>
    </w:r>
  </w:p>
  <w:p w:rsidR="00752E00" w:rsidRDefault="0075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112" w:rsidRDefault="00200112">
      <w:r>
        <w:separator/>
      </w:r>
    </w:p>
  </w:footnote>
  <w:footnote w:type="continuationSeparator" w:id="0">
    <w:p w:rsidR="00200112" w:rsidRDefault="00200112">
      <w:r>
        <w:continuationSeparator/>
      </w:r>
    </w:p>
  </w:footnote>
  <w:footnote w:type="continuationNotice" w:id="1">
    <w:p w:rsidR="00200112" w:rsidRDefault="002001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18" w:rsidRPr="00763C18" w:rsidRDefault="00763C18">
    <w:pPr>
      <w:pStyle w:val="Header"/>
      <w:rPr>
        <w:lang w:val="sk-SK"/>
      </w:rPr>
    </w:pPr>
    <w:r>
      <w:rPr>
        <w:lang w:val="sk-SK"/>
      </w:rPr>
      <w:t>Slovník</w:t>
    </w:r>
    <w:r>
      <w:rPr>
        <w:lang w:val="sk-SK"/>
      </w:rPr>
      <w:tab/>
    </w:r>
    <w:r>
      <w:rPr>
        <w:lang w:val="sk-SK"/>
      </w:rPr>
      <w:tab/>
      <w:t xml:space="preserve"> November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18" w:rsidRDefault="00763C18">
    <w:pPr>
      <w:pStyle w:val="Header"/>
    </w:pPr>
    <w:r>
      <w:t xml:space="preserve">Slovník </w:t>
    </w:r>
    <w:r>
      <w:tab/>
    </w:r>
    <w:r>
      <w:tab/>
      <w:t>November 2016</w:t>
    </w:r>
  </w:p>
  <w:p w:rsidR="00752E00" w:rsidRPr="009B3F2C" w:rsidRDefault="00752E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C65"/>
    <w:multiLevelType w:val="hybridMultilevel"/>
    <w:tmpl w:val="9DEE569A"/>
    <w:lvl w:ilvl="0" w:tplc="FFFFFFFF">
      <w:start w:val="1"/>
      <w:numFmt w:val="lowerLetter"/>
      <w:lvlText w:val="%1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2312EC"/>
    <w:multiLevelType w:val="hybridMultilevel"/>
    <w:tmpl w:val="792E416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011EE"/>
    <w:multiLevelType w:val="multilevel"/>
    <w:tmpl w:val="691483A8"/>
    <w:lvl w:ilvl="0">
      <w:start w:val="1"/>
      <w:numFmt w:val="decimal"/>
      <w:suff w:val="space"/>
      <w:lvlText w:val="Section %1."/>
      <w:lvlJc w:val="center"/>
      <w:pPr>
        <w:ind w:left="567" w:hanging="279"/>
      </w:pPr>
      <w:rPr>
        <w:rFonts w:cs="Times New Roman" w:hint="default"/>
      </w:rPr>
    </w:lvl>
    <w:lvl w:ilvl="1">
      <w:start w:val="5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3"/>
        </w:tabs>
        <w:ind w:left="1573" w:hanging="864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1A9E5626"/>
    <w:multiLevelType w:val="multilevel"/>
    <w:tmpl w:val="43269178"/>
    <w:lvl w:ilvl="0">
      <w:start w:val="1"/>
      <w:numFmt w:val="decimal"/>
      <w:pStyle w:val="Heading1"/>
      <w:suff w:val="space"/>
      <w:lvlText w:val="Section %1."/>
      <w:lvlJc w:val="center"/>
      <w:pPr>
        <w:ind w:left="999" w:hanging="279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99"/>
        </w:tabs>
        <w:ind w:left="999" w:hanging="56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0"/>
        </w:tabs>
        <w:ind w:left="1850" w:hanging="851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417"/>
        </w:tabs>
        <w:ind w:left="2417" w:hanging="567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2984"/>
        </w:tabs>
        <w:ind w:left="2984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12"/>
        </w:tabs>
        <w:ind w:left="316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367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2"/>
        </w:tabs>
        <w:ind w:left="417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4752" w:hanging="1440"/>
      </w:pPr>
      <w:rPr>
        <w:rFonts w:cs="Times New Roman" w:hint="default"/>
      </w:rPr>
    </w:lvl>
  </w:abstractNum>
  <w:abstractNum w:abstractNumId="4">
    <w:nsid w:val="1BB22689"/>
    <w:multiLevelType w:val="hybridMultilevel"/>
    <w:tmpl w:val="1B04BB4A"/>
    <w:lvl w:ilvl="0" w:tplc="BE264BCC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4C37A8"/>
    <w:multiLevelType w:val="multilevel"/>
    <w:tmpl w:val="E44267C8"/>
    <w:lvl w:ilvl="0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1E847114"/>
    <w:multiLevelType w:val="multilevel"/>
    <w:tmpl w:val="A7027C40"/>
    <w:lvl w:ilvl="0">
      <w:start w:val="2"/>
      <w:numFmt w:val="decimal"/>
      <w:suff w:val="space"/>
      <w:lvlText w:val="Section %1.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20AF0CC2"/>
    <w:multiLevelType w:val="hybridMultilevel"/>
    <w:tmpl w:val="96E2FFE0"/>
    <w:lvl w:ilvl="0" w:tplc="10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71071B"/>
    <w:multiLevelType w:val="multilevel"/>
    <w:tmpl w:val="68F6197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268"/>
        </w:tabs>
        <w:ind w:left="2268" w:hanging="567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29F272EE"/>
    <w:multiLevelType w:val="hybridMultilevel"/>
    <w:tmpl w:val="51269F6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F6275"/>
    <w:multiLevelType w:val="hybridMultilevel"/>
    <w:tmpl w:val="E44267C8"/>
    <w:lvl w:ilvl="0" w:tplc="10090019">
      <w:start w:val="1"/>
      <w:numFmt w:val="lowerLetter"/>
      <w:lvlText w:val="%1."/>
      <w:lvlJc w:val="left"/>
      <w:pPr>
        <w:ind w:left="15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11">
    <w:nsid w:val="33877AFE"/>
    <w:multiLevelType w:val="hybridMultilevel"/>
    <w:tmpl w:val="7E4CB07E"/>
    <w:lvl w:ilvl="0" w:tplc="587C0274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473363"/>
    <w:multiLevelType w:val="multilevel"/>
    <w:tmpl w:val="CDE69410"/>
    <w:lvl w:ilvl="0">
      <w:start w:val="1"/>
      <w:numFmt w:val="decimal"/>
      <w:suff w:val="space"/>
      <w:lvlText w:val="Section %1."/>
      <w:lvlJc w:val="center"/>
      <w:pPr>
        <w:ind w:left="567" w:hanging="27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3"/>
        </w:tabs>
        <w:ind w:left="1573" w:hanging="864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4B1662A8"/>
    <w:multiLevelType w:val="multilevel"/>
    <w:tmpl w:val="68F6197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268"/>
        </w:tabs>
        <w:ind w:left="2268" w:hanging="567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FB33AE4"/>
    <w:multiLevelType w:val="multilevel"/>
    <w:tmpl w:val="A88C9D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2592"/>
        </w:tabs>
        <w:ind w:left="2592" w:hanging="576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5">
    <w:nsid w:val="5CDD434E"/>
    <w:multiLevelType w:val="hybridMultilevel"/>
    <w:tmpl w:val="96E2FFE0"/>
    <w:lvl w:ilvl="0" w:tplc="10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DE0BE2"/>
    <w:multiLevelType w:val="hybridMultilevel"/>
    <w:tmpl w:val="96E2FFE0"/>
    <w:lvl w:ilvl="0" w:tplc="10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F5443C0"/>
    <w:multiLevelType w:val="multilevel"/>
    <w:tmpl w:val="68F6197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268"/>
        </w:tabs>
        <w:ind w:left="2268" w:hanging="567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3"/>
  </w:num>
  <w:num w:numId="5">
    <w:abstractNumId w:val="12"/>
  </w:num>
  <w:num w:numId="6">
    <w:abstractNumId w:val="6"/>
  </w:num>
  <w:num w:numId="7">
    <w:abstractNumId w:val="10"/>
  </w:num>
  <w:num w:numId="8">
    <w:abstractNumId w:val="5"/>
  </w:num>
  <w:num w:numId="9">
    <w:abstractNumId w:val="15"/>
  </w:num>
  <w:num w:numId="10">
    <w:abstractNumId w:val="13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1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2"/>
  </w:compat>
  <w:rsids>
    <w:rsidRoot w:val="00360FBF"/>
    <w:rsid w:val="0000728F"/>
    <w:rsid w:val="00011B80"/>
    <w:rsid w:val="0001489D"/>
    <w:rsid w:val="00014E34"/>
    <w:rsid w:val="00025A60"/>
    <w:rsid w:val="00035802"/>
    <w:rsid w:val="0004143F"/>
    <w:rsid w:val="00042864"/>
    <w:rsid w:val="00042D13"/>
    <w:rsid w:val="00045633"/>
    <w:rsid w:val="000470A0"/>
    <w:rsid w:val="00047FCC"/>
    <w:rsid w:val="000562B7"/>
    <w:rsid w:val="00063B08"/>
    <w:rsid w:val="000669ED"/>
    <w:rsid w:val="00067338"/>
    <w:rsid w:val="00067EC7"/>
    <w:rsid w:val="0007413F"/>
    <w:rsid w:val="00075022"/>
    <w:rsid w:val="00075A01"/>
    <w:rsid w:val="00080DF7"/>
    <w:rsid w:val="0008152B"/>
    <w:rsid w:val="00082145"/>
    <w:rsid w:val="000832D6"/>
    <w:rsid w:val="00085D30"/>
    <w:rsid w:val="00086F02"/>
    <w:rsid w:val="0008711A"/>
    <w:rsid w:val="000A0650"/>
    <w:rsid w:val="000A1998"/>
    <w:rsid w:val="000A49CD"/>
    <w:rsid w:val="000B1933"/>
    <w:rsid w:val="000B1A2D"/>
    <w:rsid w:val="000B65FC"/>
    <w:rsid w:val="000B7B00"/>
    <w:rsid w:val="000C4AF1"/>
    <w:rsid w:val="000D1117"/>
    <w:rsid w:val="000D1C95"/>
    <w:rsid w:val="000D3EF5"/>
    <w:rsid w:val="000D528E"/>
    <w:rsid w:val="000E34C5"/>
    <w:rsid w:val="000F04D6"/>
    <w:rsid w:val="000F081F"/>
    <w:rsid w:val="000F5427"/>
    <w:rsid w:val="000F577E"/>
    <w:rsid w:val="00103675"/>
    <w:rsid w:val="00104748"/>
    <w:rsid w:val="00104DA6"/>
    <w:rsid w:val="00110876"/>
    <w:rsid w:val="00112A05"/>
    <w:rsid w:val="0011413E"/>
    <w:rsid w:val="00114F13"/>
    <w:rsid w:val="00125EA6"/>
    <w:rsid w:val="00132A86"/>
    <w:rsid w:val="00132EEF"/>
    <w:rsid w:val="00142A25"/>
    <w:rsid w:val="0014468E"/>
    <w:rsid w:val="00146B50"/>
    <w:rsid w:val="00154C1C"/>
    <w:rsid w:val="00155D17"/>
    <w:rsid w:val="001605F6"/>
    <w:rsid w:val="00162EE8"/>
    <w:rsid w:val="00165A32"/>
    <w:rsid w:val="001716B1"/>
    <w:rsid w:val="00181FDD"/>
    <w:rsid w:val="00195740"/>
    <w:rsid w:val="001A2C16"/>
    <w:rsid w:val="001A3D2D"/>
    <w:rsid w:val="001A4BB8"/>
    <w:rsid w:val="001B1B3B"/>
    <w:rsid w:val="001B4CAB"/>
    <w:rsid w:val="001B5476"/>
    <w:rsid w:val="001C0825"/>
    <w:rsid w:val="001C26F2"/>
    <w:rsid w:val="001D0078"/>
    <w:rsid w:val="001D5B34"/>
    <w:rsid w:val="001E354A"/>
    <w:rsid w:val="001E4A57"/>
    <w:rsid w:val="001E5BFA"/>
    <w:rsid w:val="00200112"/>
    <w:rsid w:val="00202703"/>
    <w:rsid w:val="00207B3A"/>
    <w:rsid w:val="00210919"/>
    <w:rsid w:val="00214320"/>
    <w:rsid w:val="0022009B"/>
    <w:rsid w:val="0022018D"/>
    <w:rsid w:val="00226E62"/>
    <w:rsid w:val="00227407"/>
    <w:rsid w:val="0023292F"/>
    <w:rsid w:val="00245E38"/>
    <w:rsid w:val="00264670"/>
    <w:rsid w:val="002655CE"/>
    <w:rsid w:val="00271758"/>
    <w:rsid w:val="00281A41"/>
    <w:rsid w:val="00281FBA"/>
    <w:rsid w:val="00283854"/>
    <w:rsid w:val="00284B9A"/>
    <w:rsid w:val="00287152"/>
    <w:rsid w:val="00295689"/>
    <w:rsid w:val="00295D98"/>
    <w:rsid w:val="002A7963"/>
    <w:rsid w:val="002B3375"/>
    <w:rsid w:val="002B6C61"/>
    <w:rsid w:val="002C3C9C"/>
    <w:rsid w:val="002C599B"/>
    <w:rsid w:val="002D00E5"/>
    <w:rsid w:val="002D18CC"/>
    <w:rsid w:val="002D504D"/>
    <w:rsid w:val="002D72E4"/>
    <w:rsid w:val="002D7727"/>
    <w:rsid w:val="002E26D7"/>
    <w:rsid w:val="002E3DAD"/>
    <w:rsid w:val="002E4455"/>
    <w:rsid w:val="002E4E73"/>
    <w:rsid w:val="002F3E32"/>
    <w:rsid w:val="002F6781"/>
    <w:rsid w:val="002F6964"/>
    <w:rsid w:val="00300C29"/>
    <w:rsid w:val="00305570"/>
    <w:rsid w:val="00305FAB"/>
    <w:rsid w:val="00314416"/>
    <w:rsid w:val="00314F77"/>
    <w:rsid w:val="003207F7"/>
    <w:rsid w:val="00321146"/>
    <w:rsid w:val="00322C7A"/>
    <w:rsid w:val="0032788D"/>
    <w:rsid w:val="0033103D"/>
    <w:rsid w:val="00340703"/>
    <w:rsid w:val="003433DC"/>
    <w:rsid w:val="00345ACB"/>
    <w:rsid w:val="00354101"/>
    <w:rsid w:val="00360FBF"/>
    <w:rsid w:val="00364882"/>
    <w:rsid w:val="00364ADA"/>
    <w:rsid w:val="00365E13"/>
    <w:rsid w:val="00366381"/>
    <w:rsid w:val="00373B67"/>
    <w:rsid w:val="0038323C"/>
    <w:rsid w:val="00391FAF"/>
    <w:rsid w:val="0039459C"/>
    <w:rsid w:val="00395646"/>
    <w:rsid w:val="003A1801"/>
    <w:rsid w:val="003A20FE"/>
    <w:rsid w:val="003A6DBA"/>
    <w:rsid w:val="003C3AD6"/>
    <w:rsid w:val="003C4AA8"/>
    <w:rsid w:val="003D038D"/>
    <w:rsid w:val="003D5903"/>
    <w:rsid w:val="003D74B7"/>
    <w:rsid w:val="003E77AF"/>
    <w:rsid w:val="003F2B82"/>
    <w:rsid w:val="003F75C8"/>
    <w:rsid w:val="004009D3"/>
    <w:rsid w:val="0042479E"/>
    <w:rsid w:val="00426B5C"/>
    <w:rsid w:val="00432EA1"/>
    <w:rsid w:val="00437298"/>
    <w:rsid w:val="004474B6"/>
    <w:rsid w:val="00452ECF"/>
    <w:rsid w:val="00464124"/>
    <w:rsid w:val="00465CCB"/>
    <w:rsid w:val="00476AA5"/>
    <w:rsid w:val="004926D9"/>
    <w:rsid w:val="004A2F0A"/>
    <w:rsid w:val="004A2FFB"/>
    <w:rsid w:val="004A53DD"/>
    <w:rsid w:val="004A7008"/>
    <w:rsid w:val="004B00B8"/>
    <w:rsid w:val="004B1F31"/>
    <w:rsid w:val="004B488F"/>
    <w:rsid w:val="004C0A61"/>
    <w:rsid w:val="004C1536"/>
    <w:rsid w:val="004C5D74"/>
    <w:rsid w:val="004C6D4C"/>
    <w:rsid w:val="004D4699"/>
    <w:rsid w:val="004D4A10"/>
    <w:rsid w:val="004D5EA0"/>
    <w:rsid w:val="004E7462"/>
    <w:rsid w:val="00503185"/>
    <w:rsid w:val="00504296"/>
    <w:rsid w:val="00505CD9"/>
    <w:rsid w:val="005063CF"/>
    <w:rsid w:val="00511441"/>
    <w:rsid w:val="00523EAF"/>
    <w:rsid w:val="005331B1"/>
    <w:rsid w:val="005337DA"/>
    <w:rsid w:val="00537F8E"/>
    <w:rsid w:val="0054790A"/>
    <w:rsid w:val="00553B81"/>
    <w:rsid w:val="005642AF"/>
    <w:rsid w:val="005668A1"/>
    <w:rsid w:val="0057413A"/>
    <w:rsid w:val="00577336"/>
    <w:rsid w:val="0058041A"/>
    <w:rsid w:val="00590E3D"/>
    <w:rsid w:val="00597614"/>
    <w:rsid w:val="005A539D"/>
    <w:rsid w:val="005B070C"/>
    <w:rsid w:val="005B6C8D"/>
    <w:rsid w:val="005C2B57"/>
    <w:rsid w:val="005C4B93"/>
    <w:rsid w:val="005C609E"/>
    <w:rsid w:val="005D0419"/>
    <w:rsid w:val="005D143B"/>
    <w:rsid w:val="005D23D8"/>
    <w:rsid w:val="005D2DB1"/>
    <w:rsid w:val="005D5000"/>
    <w:rsid w:val="005E4199"/>
    <w:rsid w:val="005F7248"/>
    <w:rsid w:val="00601102"/>
    <w:rsid w:val="00604137"/>
    <w:rsid w:val="00616237"/>
    <w:rsid w:val="00627C61"/>
    <w:rsid w:val="0063460C"/>
    <w:rsid w:val="00647A03"/>
    <w:rsid w:val="00647B6B"/>
    <w:rsid w:val="00656C9F"/>
    <w:rsid w:val="00676246"/>
    <w:rsid w:val="00682888"/>
    <w:rsid w:val="00682B6B"/>
    <w:rsid w:val="0068577D"/>
    <w:rsid w:val="00686D6E"/>
    <w:rsid w:val="006A0A37"/>
    <w:rsid w:val="006B270A"/>
    <w:rsid w:val="006B4316"/>
    <w:rsid w:val="006B73B5"/>
    <w:rsid w:val="006C0058"/>
    <w:rsid w:val="006C32FD"/>
    <w:rsid w:val="006C626A"/>
    <w:rsid w:val="006E2E9A"/>
    <w:rsid w:val="006E4461"/>
    <w:rsid w:val="006E48EF"/>
    <w:rsid w:val="006E62EF"/>
    <w:rsid w:val="00704009"/>
    <w:rsid w:val="00705C99"/>
    <w:rsid w:val="00706A18"/>
    <w:rsid w:val="00707C6F"/>
    <w:rsid w:val="00710AF1"/>
    <w:rsid w:val="007114D8"/>
    <w:rsid w:val="00713D22"/>
    <w:rsid w:val="007173DF"/>
    <w:rsid w:val="0072272E"/>
    <w:rsid w:val="00736B9E"/>
    <w:rsid w:val="00740010"/>
    <w:rsid w:val="0074118A"/>
    <w:rsid w:val="00743209"/>
    <w:rsid w:val="00747333"/>
    <w:rsid w:val="00751F55"/>
    <w:rsid w:val="00752E00"/>
    <w:rsid w:val="007550B2"/>
    <w:rsid w:val="00757210"/>
    <w:rsid w:val="00757C24"/>
    <w:rsid w:val="007610DC"/>
    <w:rsid w:val="00763BA1"/>
    <w:rsid w:val="00763C18"/>
    <w:rsid w:val="00764732"/>
    <w:rsid w:val="007736D5"/>
    <w:rsid w:val="0077619B"/>
    <w:rsid w:val="007771C1"/>
    <w:rsid w:val="00781521"/>
    <w:rsid w:val="00783C52"/>
    <w:rsid w:val="00783D2F"/>
    <w:rsid w:val="00787573"/>
    <w:rsid w:val="0079392F"/>
    <w:rsid w:val="0079472A"/>
    <w:rsid w:val="007978FC"/>
    <w:rsid w:val="007A228C"/>
    <w:rsid w:val="007C1DFD"/>
    <w:rsid w:val="007C20C4"/>
    <w:rsid w:val="007C6341"/>
    <w:rsid w:val="007D44AC"/>
    <w:rsid w:val="007D6C5E"/>
    <w:rsid w:val="007D7208"/>
    <w:rsid w:val="007E03D7"/>
    <w:rsid w:val="007E2337"/>
    <w:rsid w:val="007E3EE3"/>
    <w:rsid w:val="007F2F34"/>
    <w:rsid w:val="007F5019"/>
    <w:rsid w:val="007F7660"/>
    <w:rsid w:val="00810A62"/>
    <w:rsid w:val="00824DE6"/>
    <w:rsid w:val="008308BD"/>
    <w:rsid w:val="008407F7"/>
    <w:rsid w:val="00867C85"/>
    <w:rsid w:val="00873FEC"/>
    <w:rsid w:val="00887DF3"/>
    <w:rsid w:val="00894993"/>
    <w:rsid w:val="008A0E32"/>
    <w:rsid w:val="008A418A"/>
    <w:rsid w:val="008A64D8"/>
    <w:rsid w:val="008B582C"/>
    <w:rsid w:val="008C182C"/>
    <w:rsid w:val="008C379C"/>
    <w:rsid w:val="008E00F3"/>
    <w:rsid w:val="008E0A80"/>
    <w:rsid w:val="008E113D"/>
    <w:rsid w:val="008E2EF0"/>
    <w:rsid w:val="008E5507"/>
    <w:rsid w:val="008F0376"/>
    <w:rsid w:val="008F306B"/>
    <w:rsid w:val="008F762E"/>
    <w:rsid w:val="0090451B"/>
    <w:rsid w:val="00904F68"/>
    <w:rsid w:val="009206F9"/>
    <w:rsid w:val="00925792"/>
    <w:rsid w:val="00953E2D"/>
    <w:rsid w:val="009552CC"/>
    <w:rsid w:val="009636D5"/>
    <w:rsid w:val="00963A71"/>
    <w:rsid w:val="00964DD1"/>
    <w:rsid w:val="0096786D"/>
    <w:rsid w:val="009938FD"/>
    <w:rsid w:val="009A06FF"/>
    <w:rsid w:val="009A2462"/>
    <w:rsid w:val="009A6DB7"/>
    <w:rsid w:val="009B3F2C"/>
    <w:rsid w:val="009B45D2"/>
    <w:rsid w:val="009B5610"/>
    <w:rsid w:val="009C27DB"/>
    <w:rsid w:val="009C5143"/>
    <w:rsid w:val="009C74C1"/>
    <w:rsid w:val="009D2159"/>
    <w:rsid w:val="009E111F"/>
    <w:rsid w:val="009E275F"/>
    <w:rsid w:val="009E3DB4"/>
    <w:rsid w:val="00A04C12"/>
    <w:rsid w:val="00A0759D"/>
    <w:rsid w:val="00A07AC1"/>
    <w:rsid w:val="00A10555"/>
    <w:rsid w:val="00A12AA4"/>
    <w:rsid w:val="00A14D19"/>
    <w:rsid w:val="00A27046"/>
    <w:rsid w:val="00A27E13"/>
    <w:rsid w:val="00A31790"/>
    <w:rsid w:val="00A3229C"/>
    <w:rsid w:val="00A50395"/>
    <w:rsid w:val="00A5040E"/>
    <w:rsid w:val="00A53BDD"/>
    <w:rsid w:val="00A54EBB"/>
    <w:rsid w:val="00A643A2"/>
    <w:rsid w:val="00A721D8"/>
    <w:rsid w:val="00A730F1"/>
    <w:rsid w:val="00A77C42"/>
    <w:rsid w:val="00A90A53"/>
    <w:rsid w:val="00A94B8D"/>
    <w:rsid w:val="00AA28CC"/>
    <w:rsid w:val="00AA57CF"/>
    <w:rsid w:val="00AA612B"/>
    <w:rsid w:val="00AA6500"/>
    <w:rsid w:val="00AB05C9"/>
    <w:rsid w:val="00AB2961"/>
    <w:rsid w:val="00AB5977"/>
    <w:rsid w:val="00AC1F2A"/>
    <w:rsid w:val="00AC2112"/>
    <w:rsid w:val="00AC6AAE"/>
    <w:rsid w:val="00AD131F"/>
    <w:rsid w:val="00AD295F"/>
    <w:rsid w:val="00AD4419"/>
    <w:rsid w:val="00AD45E7"/>
    <w:rsid w:val="00AD4ED7"/>
    <w:rsid w:val="00AD584F"/>
    <w:rsid w:val="00AD7843"/>
    <w:rsid w:val="00AF5000"/>
    <w:rsid w:val="00AF7B50"/>
    <w:rsid w:val="00B01344"/>
    <w:rsid w:val="00B02E70"/>
    <w:rsid w:val="00B05629"/>
    <w:rsid w:val="00B0647C"/>
    <w:rsid w:val="00B16439"/>
    <w:rsid w:val="00B229EB"/>
    <w:rsid w:val="00B22C68"/>
    <w:rsid w:val="00B26397"/>
    <w:rsid w:val="00B306B6"/>
    <w:rsid w:val="00B316D0"/>
    <w:rsid w:val="00B46067"/>
    <w:rsid w:val="00B50ECA"/>
    <w:rsid w:val="00B53396"/>
    <w:rsid w:val="00B555BE"/>
    <w:rsid w:val="00B6394D"/>
    <w:rsid w:val="00B63F13"/>
    <w:rsid w:val="00B660FC"/>
    <w:rsid w:val="00B72D99"/>
    <w:rsid w:val="00B735A1"/>
    <w:rsid w:val="00B949E5"/>
    <w:rsid w:val="00BA66E0"/>
    <w:rsid w:val="00BB1E38"/>
    <w:rsid w:val="00BE2CF3"/>
    <w:rsid w:val="00BF0DD8"/>
    <w:rsid w:val="00BF1086"/>
    <w:rsid w:val="00BF2FC7"/>
    <w:rsid w:val="00C00742"/>
    <w:rsid w:val="00C04123"/>
    <w:rsid w:val="00C1155F"/>
    <w:rsid w:val="00C21D25"/>
    <w:rsid w:val="00C24905"/>
    <w:rsid w:val="00C25FCC"/>
    <w:rsid w:val="00C34C8D"/>
    <w:rsid w:val="00C3607C"/>
    <w:rsid w:val="00C36A31"/>
    <w:rsid w:val="00C36F66"/>
    <w:rsid w:val="00C412D8"/>
    <w:rsid w:val="00C46C5B"/>
    <w:rsid w:val="00C514A3"/>
    <w:rsid w:val="00C51AF8"/>
    <w:rsid w:val="00C54278"/>
    <w:rsid w:val="00C542CF"/>
    <w:rsid w:val="00C55195"/>
    <w:rsid w:val="00C60D27"/>
    <w:rsid w:val="00C6445A"/>
    <w:rsid w:val="00C65AE1"/>
    <w:rsid w:val="00C81F32"/>
    <w:rsid w:val="00C96BE9"/>
    <w:rsid w:val="00C97A04"/>
    <w:rsid w:val="00CA089A"/>
    <w:rsid w:val="00CA28DC"/>
    <w:rsid w:val="00CA33F7"/>
    <w:rsid w:val="00CB3D40"/>
    <w:rsid w:val="00CB43B6"/>
    <w:rsid w:val="00CB7568"/>
    <w:rsid w:val="00CC55DB"/>
    <w:rsid w:val="00CE2545"/>
    <w:rsid w:val="00CE77F3"/>
    <w:rsid w:val="00CF6B16"/>
    <w:rsid w:val="00CF7B3A"/>
    <w:rsid w:val="00D001B9"/>
    <w:rsid w:val="00D007B4"/>
    <w:rsid w:val="00D05D9E"/>
    <w:rsid w:val="00D05FC1"/>
    <w:rsid w:val="00D177A0"/>
    <w:rsid w:val="00D221C8"/>
    <w:rsid w:val="00D23FD3"/>
    <w:rsid w:val="00D32CFC"/>
    <w:rsid w:val="00D37E37"/>
    <w:rsid w:val="00D408D1"/>
    <w:rsid w:val="00D428A7"/>
    <w:rsid w:val="00D4402F"/>
    <w:rsid w:val="00D602DF"/>
    <w:rsid w:val="00D60590"/>
    <w:rsid w:val="00D62980"/>
    <w:rsid w:val="00D6491B"/>
    <w:rsid w:val="00D7149E"/>
    <w:rsid w:val="00D74EDF"/>
    <w:rsid w:val="00D8029B"/>
    <w:rsid w:val="00D85319"/>
    <w:rsid w:val="00D936B0"/>
    <w:rsid w:val="00D96732"/>
    <w:rsid w:val="00DA4230"/>
    <w:rsid w:val="00DA63DD"/>
    <w:rsid w:val="00DB031B"/>
    <w:rsid w:val="00DB520C"/>
    <w:rsid w:val="00DB6EDD"/>
    <w:rsid w:val="00DB7C1F"/>
    <w:rsid w:val="00DC1329"/>
    <w:rsid w:val="00DD02C3"/>
    <w:rsid w:val="00DD316F"/>
    <w:rsid w:val="00DD71DF"/>
    <w:rsid w:val="00DD7D01"/>
    <w:rsid w:val="00DE0F00"/>
    <w:rsid w:val="00DE224B"/>
    <w:rsid w:val="00DF3F90"/>
    <w:rsid w:val="00E0113C"/>
    <w:rsid w:val="00E04F69"/>
    <w:rsid w:val="00E059A7"/>
    <w:rsid w:val="00E0678A"/>
    <w:rsid w:val="00E0688E"/>
    <w:rsid w:val="00E07A69"/>
    <w:rsid w:val="00E10CDA"/>
    <w:rsid w:val="00E151D7"/>
    <w:rsid w:val="00E16C25"/>
    <w:rsid w:val="00E1731D"/>
    <w:rsid w:val="00E20A6F"/>
    <w:rsid w:val="00E231E1"/>
    <w:rsid w:val="00E278BD"/>
    <w:rsid w:val="00E42C5B"/>
    <w:rsid w:val="00E4319F"/>
    <w:rsid w:val="00E45FFC"/>
    <w:rsid w:val="00E47368"/>
    <w:rsid w:val="00E54AEF"/>
    <w:rsid w:val="00E55458"/>
    <w:rsid w:val="00E65C26"/>
    <w:rsid w:val="00E764F3"/>
    <w:rsid w:val="00E81912"/>
    <w:rsid w:val="00E81F7E"/>
    <w:rsid w:val="00E829B2"/>
    <w:rsid w:val="00E84F44"/>
    <w:rsid w:val="00E851BD"/>
    <w:rsid w:val="00E866E1"/>
    <w:rsid w:val="00E87B92"/>
    <w:rsid w:val="00E94313"/>
    <w:rsid w:val="00E960CE"/>
    <w:rsid w:val="00EA291A"/>
    <w:rsid w:val="00EA592A"/>
    <w:rsid w:val="00EB7F41"/>
    <w:rsid w:val="00EC0A0C"/>
    <w:rsid w:val="00ED034D"/>
    <w:rsid w:val="00ED7214"/>
    <w:rsid w:val="00EE0080"/>
    <w:rsid w:val="00EF22A5"/>
    <w:rsid w:val="00EF3561"/>
    <w:rsid w:val="00EF5EEC"/>
    <w:rsid w:val="00EF6173"/>
    <w:rsid w:val="00EF7946"/>
    <w:rsid w:val="00F0103A"/>
    <w:rsid w:val="00F13915"/>
    <w:rsid w:val="00F24F41"/>
    <w:rsid w:val="00F37A39"/>
    <w:rsid w:val="00F42E76"/>
    <w:rsid w:val="00F509E8"/>
    <w:rsid w:val="00F52227"/>
    <w:rsid w:val="00F53905"/>
    <w:rsid w:val="00F55E5B"/>
    <w:rsid w:val="00F65289"/>
    <w:rsid w:val="00F707F9"/>
    <w:rsid w:val="00F911A8"/>
    <w:rsid w:val="00F91CEA"/>
    <w:rsid w:val="00F95135"/>
    <w:rsid w:val="00F9533D"/>
    <w:rsid w:val="00F97441"/>
    <w:rsid w:val="00FA54D8"/>
    <w:rsid w:val="00FA6435"/>
    <w:rsid w:val="00FB4A66"/>
    <w:rsid w:val="00FB64E9"/>
    <w:rsid w:val="00FC0FB3"/>
    <w:rsid w:val="00FC2320"/>
    <w:rsid w:val="00FC407C"/>
    <w:rsid w:val="00FD0544"/>
    <w:rsid w:val="00FD49A4"/>
    <w:rsid w:val="00FF1918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0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F2B82"/>
    <w:pPr>
      <w:keepNext/>
      <w:numPr>
        <w:numId w:val="4"/>
      </w:numPr>
      <w:spacing w:before="240" w:after="60"/>
      <w:jc w:val="center"/>
      <w:outlineLvl w:val="0"/>
    </w:pPr>
    <w:rPr>
      <w:rFonts w:ascii="Cambria" w:eastAsia="Times New Roman" w:hAnsi="Cambria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F2B82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3F2B82"/>
    <w:pPr>
      <w:numPr>
        <w:ilvl w:val="2"/>
        <w:numId w:val="4"/>
      </w:numPr>
      <w:spacing w:before="120" w:after="120"/>
      <w:outlineLvl w:val="2"/>
    </w:pPr>
    <w:rPr>
      <w:rFonts w:eastAsia="Times New Roman"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odfrey">
    <w:name w:val="Godfrey"/>
    <w:basedOn w:val="Normal"/>
    <w:rsid w:val="000F04D6"/>
    <w:pPr>
      <w:spacing w:before="120" w:after="120"/>
    </w:pPr>
  </w:style>
  <w:style w:type="character" w:styleId="Hyperlink">
    <w:name w:val="Hyperlink"/>
    <w:rsid w:val="00E20A6F"/>
    <w:rPr>
      <w:rFonts w:ascii="Times New Roman" w:hAnsi="Times New Roman"/>
      <w:color w:val="000080"/>
      <w:u w:val="dotted"/>
    </w:rPr>
  </w:style>
  <w:style w:type="paragraph" w:customStyle="1" w:styleId="GodfreyHead">
    <w:name w:val="Godfrey Head"/>
    <w:basedOn w:val="Godfrey"/>
    <w:next w:val="Godfrey"/>
    <w:rsid w:val="00C24905"/>
    <w:pPr>
      <w:spacing w:before="360"/>
      <w:jc w:val="center"/>
    </w:pPr>
    <w:rPr>
      <w:b/>
      <w:sz w:val="28"/>
      <w:szCs w:val="28"/>
    </w:rPr>
  </w:style>
  <w:style w:type="character" w:styleId="CommentReference">
    <w:name w:val="annotation reference"/>
    <w:semiHidden/>
    <w:rsid w:val="001E354A"/>
    <w:rPr>
      <w:sz w:val="18"/>
    </w:rPr>
  </w:style>
  <w:style w:type="paragraph" w:styleId="CommentText">
    <w:name w:val="annotation text"/>
    <w:basedOn w:val="Normal"/>
    <w:link w:val="CommentTextChar"/>
    <w:semiHidden/>
    <w:rsid w:val="001E354A"/>
    <w:pPr>
      <w:widowControl w:val="0"/>
      <w:spacing w:after="200"/>
    </w:pPr>
    <w:rPr>
      <w:rFonts w:ascii="Calibri" w:eastAsia="Times New Roman" w:hAnsi="Calibri"/>
    </w:rPr>
  </w:style>
  <w:style w:type="character" w:customStyle="1" w:styleId="CommentTextChar">
    <w:name w:val="Comment Text Char"/>
    <w:link w:val="CommentText"/>
    <w:semiHidden/>
    <w:rsid w:val="00C46C5B"/>
    <w:rPr>
      <w:rFonts w:ascii="Calibri" w:eastAsia="Times New Roman" w:hAnsi="Calibri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063B08"/>
    <w:rPr>
      <w:rFonts w:ascii="Tahoma" w:hAnsi="Tahoma" w:cs="Tahoma"/>
      <w:sz w:val="16"/>
      <w:szCs w:val="16"/>
    </w:rPr>
  </w:style>
  <w:style w:type="paragraph" w:customStyle="1" w:styleId="ISAP">
    <w:name w:val="ISAP"/>
    <w:link w:val="ISAPChar"/>
    <w:rsid w:val="00063B08"/>
    <w:pPr>
      <w:spacing w:before="120" w:after="120"/>
    </w:pPr>
    <w:rPr>
      <w:sz w:val="24"/>
      <w:lang w:val="en-US" w:eastAsia="en-US"/>
    </w:rPr>
  </w:style>
  <w:style w:type="character" w:customStyle="1" w:styleId="ISAPChar">
    <w:name w:val="ISAP Char"/>
    <w:link w:val="ISAP"/>
    <w:rsid w:val="00E059A7"/>
    <w:rPr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063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63B08"/>
    <w:pPr>
      <w:tabs>
        <w:tab w:val="center" w:pos="4320"/>
        <w:tab w:val="right" w:pos="8640"/>
      </w:tabs>
    </w:pPr>
    <w:rPr>
      <w:szCs w:val="20"/>
    </w:rPr>
  </w:style>
  <w:style w:type="character" w:styleId="FollowedHyperlink">
    <w:name w:val="FollowedHyperlink"/>
    <w:rsid w:val="001D5B34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F3561"/>
    <w:rPr>
      <w:sz w:val="24"/>
      <w:lang w:val="en-US" w:eastAsia="en-US"/>
    </w:rPr>
  </w:style>
  <w:style w:type="paragraph" w:styleId="Revision">
    <w:name w:val="Revision"/>
    <w:link w:val="RevisionChar"/>
    <w:hidden/>
    <w:uiPriority w:val="99"/>
    <w:semiHidden/>
    <w:rsid w:val="00763BA1"/>
    <w:rPr>
      <w:rFonts w:ascii="Calibri" w:eastAsia="Times New Roman" w:hAnsi="Calibri"/>
      <w:b/>
      <w:bCs/>
      <w:sz w:val="24"/>
      <w:szCs w:val="24"/>
      <w:lang w:val="en-US" w:eastAsia="en-US"/>
    </w:rPr>
  </w:style>
  <w:style w:type="character" w:customStyle="1" w:styleId="RevisionChar">
    <w:name w:val="Revision Char"/>
    <w:link w:val="Revision"/>
    <w:uiPriority w:val="99"/>
    <w:semiHidden/>
    <w:rsid w:val="00B63F13"/>
    <w:rPr>
      <w:rFonts w:ascii="Calibri" w:eastAsia="Times New Roman" w:hAnsi="Calibri"/>
      <w:b/>
      <w:bCs/>
      <w:sz w:val="24"/>
      <w:szCs w:val="24"/>
      <w:lang w:val="en-US" w:eastAsia="en-US" w:bidi="ar-SA"/>
    </w:rPr>
  </w:style>
  <w:style w:type="paragraph" w:customStyle="1" w:styleId="Revision1">
    <w:name w:val="Revision1"/>
    <w:hidden/>
    <w:semiHidden/>
    <w:rsid w:val="00647B6B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54A"/>
    <w:pPr>
      <w:widowControl/>
      <w:spacing w:after="0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354A"/>
    <w:rPr>
      <w:rFonts w:ascii="Calibri" w:eastAsia="Calibri" w:hAnsi="Calibri"/>
      <w:b/>
      <w:bCs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63C18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0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F2B82"/>
    <w:pPr>
      <w:keepNext/>
      <w:numPr>
        <w:numId w:val="4"/>
      </w:numPr>
      <w:spacing w:before="240" w:after="60"/>
      <w:jc w:val="center"/>
      <w:outlineLvl w:val="0"/>
    </w:pPr>
    <w:rPr>
      <w:rFonts w:ascii="Cambria" w:eastAsia="Times New Roman" w:hAnsi="Cambria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F2B82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3F2B82"/>
    <w:pPr>
      <w:numPr>
        <w:ilvl w:val="2"/>
        <w:numId w:val="4"/>
      </w:numPr>
      <w:spacing w:before="120" w:after="120"/>
      <w:outlineLvl w:val="2"/>
    </w:pPr>
    <w:rPr>
      <w:rFonts w:eastAsia="Times New Roman"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odfrey">
    <w:name w:val="Godfrey"/>
    <w:basedOn w:val="Normal"/>
    <w:rsid w:val="000F04D6"/>
    <w:pPr>
      <w:spacing w:before="120" w:after="120"/>
    </w:pPr>
  </w:style>
  <w:style w:type="character" w:styleId="Hyperlink">
    <w:name w:val="Hyperlink"/>
    <w:rsid w:val="00E20A6F"/>
    <w:rPr>
      <w:rFonts w:ascii="Times New Roman" w:hAnsi="Times New Roman"/>
      <w:color w:val="000080"/>
      <w:u w:val="dotted"/>
    </w:rPr>
  </w:style>
  <w:style w:type="paragraph" w:customStyle="1" w:styleId="GodfreyHead">
    <w:name w:val="Godfrey Head"/>
    <w:basedOn w:val="Godfrey"/>
    <w:next w:val="Godfrey"/>
    <w:rsid w:val="00C24905"/>
    <w:pPr>
      <w:spacing w:before="360"/>
      <w:jc w:val="center"/>
    </w:pPr>
    <w:rPr>
      <w:b/>
      <w:sz w:val="28"/>
      <w:szCs w:val="28"/>
    </w:rPr>
  </w:style>
  <w:style w:type="character" w:styleId="CommentReference">
    <w:name w:val="annotation reference"/>
    <w:semiHidden/>
    <w:rsid w:val="001E354A"/>
    <w:rPr>
      <w:sz w:val="18"/>
    </w:rPr>
  </w:style>
  <w:style w:type="paragraph" w:styleId="CommentText">
    <w:name w:val="annotation text"/>
    <w:basedOn w:val="Normal"/>
    <w:link w:val="CommentTextChar"/>
    <w:semiHidden/>
    <w:rsid w:val="001E354A"/>
    <w:pPr>
      <w:widowControl w:val="0"/>
      <w:spacing w:after="200"/>
    </w:pPr>
    <w:rPr>
      <w:rFonts w:ascii="Calibri" w:eastAsia="Times New Roman" w:hAnsi="Calibri"/>
    </w:rPr>
  </w:style>
  <w:style w:type="character" w:customStyle="1" w:styleId="CommentTextChar">
    <w:name w:val="Comment Text Char"/>
    <w:link w:val="CommentText"/>
    <w:semiHidden/>
    <w:rsid w:val="00C46C5B"/>
    <w:rPr>
      <w:rFonts w:ascii="Calibri" w:eastAsia="Times New Roman" w:hAnsi="Calibri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063B08"/>
    <w:rPr>
      <w:rFonts w:ascii="Tahoma" w:hAnsi="Tahoma" w:cs="Tahoma"/>
      <w:sz w:val="16"/>
      <w:szCs w:val="16"/>
    </w:rPr>
  </w:style>
  <w:style w:type="paragraph" w:customStyle="1" w:styleId="ISAP">
    <w:name w:val="ISAP"/>
    <w:link w:val="ISAPChar"/>
    <w:rsid w:val="00063B08"/>
    <w:pPr>
      <w:spacing w:before="120" w:after="120"/>
    </w:pPr>
    <w:rPr>
      <w:sz w:val="24"/>
      <w:lang w:val="en-US" w:eastAsia="en-US"/>
    </w:rPr>
  </w:style>
  <w:style w:type="character" w:customStyle="1" w:styleId="ISAPChar">
    <w:name w:val="ISAP Char"/>
    <w:link w:val="ISAP"/>
    <w:rsid w:val="00E059A7"/>
    <w:rPr>
      <w:sz w:val="24"/>
      <w:lang w:val="en-US" w:eastAsia="en-US" w:bidi="ar-SA"/>
    </w:rPr>
  </w:style>
  <w:style w:type="paragraph" w:styleId="Header">
    <w:name w:val="header"/>
    <w:basedOn w:val="Normal"/>
    <w:rsid w:val="00063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63B08"/>
    <w:pPr>
      <w:tabs>
        <w:tab w:val="center" w:pos="4320"/>
        <w:tab w:val="right" w:pos="8640"/>
      </w:tabs>
    </w:pPr>
    <w:rPr>
      <w:szCs w:val="20"/>
    </w:rPr>
  </w:style>
  <w:style w:type="character" w:styleId="FollowedHyperlink">
    <w:name w:val="FollowedHyperlink"/>
    <w:rsid w:val="001D5B34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F3561"/>
    <w:rPr>
      <w:sz w:val="24"/>
      <w:lang w:val="en-US" w:eastAsia="en-US"/>
    </w:rPr>
  </w:style>
  <w:style w:type="paragraph" w:styleId="Revision">
    <w:name w:val="Revision"/>
    <w:link w:val="RevisionChar"/>
    <w:hidden/>
    <w:uiPriority w:val="99"/>
    <w:semiHidden/>
    <w:rsid w:val="00763BA1"/>
    <w:rPr>
      <w:rFonts w:ascii="Calibri" w:eastAsia="Times New Roman" w:hAnsi="Calibri"/>
      <w:b/>
      <w:bCs/>
      <w:sz w:val="24"/>
      <w:szCs w:val="24"/>
      <w:lang w:val="en-US" w:eastAsia="en-US"/>
    </w:rPr>
  </w:style>
  <w:style w:type="character" w:customStyle="1" w:styleId="RevisionChar">
    <w:name w:val="Revision Char"/>
    <w:link w:val="Revision"/>
    <w:uiPriority w:val="99"/>
    <w:semiHidden/>
    <w:rsid w:val="00B63F13"/>
    <w:rPr>
      <w:rFonts w:ascii="Calibri" w:eastAsia="Times New Roman" w:hAnsi="Calibri"/>
      <w:b/>
      <w:bCs/>
      <w:sz w:val="24"/>
      <w:szCs w:val="24"/>
      <w:lang w:val="en-US" w:eastAsia="en-US" w:bidi="ar-SA"/>
    </w:rPr>
  </w:style>
  <w:style w:type="paragraph" w:customStyle="1" w:styleId="Revision1">
    <w:name w:val="Revision1"/>
    <w:hidden/>
    <w:semiHidden/>
    <w:rsid w:val="00647B6B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54A"/>
    <w:pPr>
      <w:widowControl/>
      <w:spacing w:after="0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354A"/>
    <w:rPr>
      <w:rFonts w:ascii="Calibri" w:eastAsia="Calibri" w:hAnsi="Calibri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BDAA090-FD4D-4CD9-B36F-D10B7459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8685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Actuarial Services – Services based upon actuarial considerations provided to intended users that may include the rendering of</vt:lpstr>
      <vt:lpstr>Actuarial Services – Services based upon actuarial considerations provided to intended users that may include the rendering of</vt:lpstr>
    </vt:vector>
  </TitlesOfParts>
  <Company>Zurich Insurance Company Ltd.</Company>
  <LinksUpToDate>false</LinksUpToDate>
  <CharactersWithSpaces>10043</CharactersWithSpaces>
  <SharedDoc>false</SharedDoc>
  <HLinks>
    <vt:vector size="30" baseType="variant">
      <vt:variant>
        <vt:i4>5701699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social_security_program</vt:lpwstr>
      </vt:variant>
      <vt:variant>
        <vt:i4>8257648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report</vt:lpwstr>
      </vt:variant>
      <vt:variant>
        <vt:i4>5832828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actuarial_services</vt:lpwstr>
      </vt:variant>
      <vt:variant>
        <vt:i4>6553716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actuary</vt:lpwstr>
      </vt:variant>
      <vt:variant>
        <vt:i4>1310730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Principal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Actuarial Services – Services based upon actuarial considerations provided to intended users that may include the rendering of</dc:title>
  <dc:creator>Godfrey</dc:creator>
  <cp:lastModifiedBy>Lucia Gondarova</cp:lastModifiedBy>
  <cp:revision>8</cp:revision>
  <cp:lastPrinted>2015-04-29T08:02:00Z</cp:lastPrinted>
  <dcterms:created xsi:type="dcterms:W3CDTF">2016-11-11T21:02:00Z</dcterms:created>
  <dcterms:modified xsi:type="dcterms:W3CDTF">2016-11-12T20:00:00Z</dcterms:modified>
</cp:coreProperties>
</file>