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576"/>
      </w:tblGrid>
      <w:tr w:rsidR="00F178FE" w:rsidTr="00C77800">
        <w:tc>
          <w:tcPr>
            <w:tcW w:w="9576" w:type="dxa"/>
          </w:tcPr>
          <w:p w:rsidR="00F178FE" w:rsidRDefault="00F178FE" w:rsidP="00A64F01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Cieľ:</w:t>
            </w:r>
          </w:p>
          <w:p w:rsidR="00F178FE" w:rsidRPr="00A947B7" w:rsidRDefault="00A947B7" w:rsidP="00A64F01">
            <w:pPr>
              <w:rPr>
                <w:lang w:val="sk-SK"/>
              </w:rPr>
            </w:pPr>
            <w:r w:rsidRPr="00A947B7">
              <w:rPr>
                <w:lang w:val="sk-SK"/>
              </w:rPr>
              <w:t>Poskytnúť základy kvantitatívneho manažmentu rizika.</w:t>
            </w:r>
          </w:p>
        </w:tc>
      </w:tr>
    </w:tbl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0A0" w:firstRow="1" w:lastRow="0" w:firstColumn="1" w:lastColumn="0" w:noHBand="0" w:noVBand="0"/>
      </w:tblPr>
      <w:tblGrid>
        <w:gridCol w:w="9576"/>
      </w:tblGrid>
      <w:tr w:rsidR="00F178FE">
        <w:tc>
          <w:tcPr>
            <w:tcW w:w="9576" w:type="dxa"/>
          </w:tcPr>
          <w:p w:rsidR="00E66436" w:rsidRPr="00E66436" w:rsidRDefault="00E66436" w:rsidP="00A64F01">
            <w:pPr>
              <w:spacing w:after="0" w:line="240" w:lineRule="auto"/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Obsah predmetu:</w:t>
            </w:r>
          </w:p>
          <w:p w:rsidR="0076568D" w:rsidRPr="0076568D" w:rsidRDefault="001A3C35" w:rsidP="00A64F0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Klasifikácia rizika</w:t>
            </w:r>
          </w:p>
          <w:p w:rsidR="00E66436" w:rsidRPr="0076568D" w:rsidRDefault="00D81FE1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5D20FC">
              <w:rPr>
                <w:lang w:val="sk-SK"/>
              </w:rPr>
              <w:t xml:space="preserve"> základné skupiny rizík, ktoré sú typické pre poistné odvetvie</w:t>
            </w:r>
          </w:p>
          <w:p w:rsidR="00E66436" w:rsidRDefault="00D81FE1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5D20FC">
              <w:rPr>
                <w:lang w:val="sk-SK"/>
              </w:rPr>
              <w:t xml:space="preserve"> kreditné riziko</w:t>
            </w:r>
          </w:p>
          <w:p w:rsidR="005D20FC" w:rsidRDefault="00D81FE1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5D20FC">
              <w:rPr>
                <w:lang w:val="sk-SK"/>
              </w:rPr>
              <w:t xml:space="preserve"> riziko likvidity</w:t>
            </w:r>
          </w:p>
          <w:p w:rsidR="005D20FC" w:rsidRDefault="00D81FE1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5D20FC">
              <w:rPr>
                <w:lang w:val="sk-SK"/>
              </w:rPr>
              <w:t xml:space="preserve"> trhové riziko</w:t>
            </w:r>
          </w:p>
          <w:p w:rsidR="005D20FC" w:rsidRDefault="00D81FE1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5D20FC">
              <w:rPr>
                <w:lang w:val="sk-SK"/>
              </w:rPr>
              <w:t xml:space="preserve"> operačné riziko</w:t>
            </w:r>
          </w:p>
          <w:p w:rsidR="005D20FC" w:rsidRDefault="00D81FE1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5D20FC">
              <w:rPr>
                <w:lang w:val="sk-SK"/>
              </w:rPr>
              <w:t xml:space="preserve"> poistné riziká </w:t>
            </w:r>
          </w:p>
          <w:p w:rsidR="00A97AE2" w:rsidRDefault="00D81FE1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A97AE2">
              <w:rPr>
                <w:lang w:val="sk-SK"/>
              </w:rPr>
              <w:t xml:space="preserve"> ostatné riziká (politické riziko, reputačné riziko, projektové riziko, strategické riziko</w:t>
            </w:r>
            <w:r w:rsidR="00087EEB">
              <w:rPr>
                <w:lang w:val="sk-SK"/>
              </w:rPr>
              <w:t>)</w:t>
            </w:r>
          </w:p>
          <w:p w:rsidR="005D20FC" w:rsidRDefault="00D81FE1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5D20FC">
              <w:rPr>
                <w:lang w:val="sk-SK"/>
              </w:rPr>
              <w:t xml:space="preserve"> metódy na základe ktorých sa poisťovňa rozhoduje o príjmaní, odmietnutí, ďalšiemu postúpeniu a riadeniu rizika</w:t>
            </w:r>
          </w:p>
          <w:p w:rsidR="005D20FC" w:rsidRPr="0076568D" w:rsidRDefault="00D81FE1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5D20FC">
              <w:rPr>
                <w:lang w:val="sk-SK"/>
              </w:rPr>
              <w:t xml:space="preserve"> akým spôsobom môže klasifikácia rizík napomôcť vývoju produktov</w:t>
            </w:r>
          </w:p>
          <w:p w:rsidR="00087EEB" w:rsidRPr="00087EEB" w:rsidRDefault="0076568D" w:rsidP="00A64F0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76568D">
              <w:rPr>
                <w:lang w:val="sk-SK"/>
              </w:rPr>
              <w:t>Meranie rizika</w:t>
            </w:r>
          </w:p>
          <w:p w:rsidR="00D81FE1" w:rsidRDefault="00D81FE1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</w:t>
            </w:r>
            <w:r w:rsidR="00DE4B20">
              <w:rPr>
                <w:lang w:val="sk-SK"/>
              </w:rPr>
              <w:t>p</w:t>
            </w:r>
            <w:r>
              <w:rPr>
                <w:lang w:val="sk-SK"/>
              </w:rPr>
              <w:t>ísať bežné metódy merania rizika a ich vlastnosti a obmedzenia</w:t>
            </w:r>
          </w:p>
          <w:p w:rsidR="00D81FE1" w:rsidRDefault="00D81FE1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Value at Risk (VaR)</w:t>
            </w:r>
          </w:p>
          <w:p w:rsidR="001A3C35" w:rsidRDefault="00D81FE1" w:rsidP="0083316F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color w:val="000000"/>
              </w:rPr>
            </w:pPr>
            <w:r>
              <w:rPr>
                <w:lang w:val="sk-SK"/>
              </w:rPr>
              <w:t>Tail Value at Risk (TVaR)</w:t>
            </w:r>
            <w:r w:rsidR="001A3C35">
              <w:rPr>
                <w:lang w:val="sk-SK"/>
              </w:rPr>
              <w:t>,</w:t>
            </w:r>
            <w:r w:rsidR="0054458C">
              <w:rPr>
                <w:lang w:val="sk-SK"/>
              </w:rPr>
              <w:t xml:space="preserve"> </w:t>
            </w:r>
            <w:r w:rsidR="0054458C" w:rsidRPr="001A3C35">
              <w:t>stredná hodnota nadmernej škody</w:t>
            </w:r>
            <w:r w:rsidR="0054458C">
              <w:t xml:space="preserve"> </w:t>
            </w:r>
            <w:r w:rsidR="0054458C" w:rsidRPr="006C720C">
              <w:rPr>
                <w:position w:val="-14"/>
              </w:rPr>
              <w:object w:dxaOrig="262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1.25pt;height:18.75pt" o:ole="">
                  <v:imagedata r:id="rId8" o:title=""/>
                </v:shape>
                <o:OLEObject Type="Embed" ProgID="Equation.DSMT4" ShapeID="_x0000_i1025" DrawAspect="Content" ObjectID="_1551896067" r:id="rId9"/>
              </w:object>
            </w:r>
            <w:r w:rsidR="0054458C" w:rsidRPr="001A3C35">
              <w:rPr>
                <w:color w:val="000000"/>
              </w:rPr>
              <w:t xml:space="preserve"> </w:t>
            </w:r>
          </w:p>
          <w:p w:rsidR="005516FE" w:rsidRPr="0054458C" w:rsidRDefault="0054458C" w:rsidP="001A3C35">
            <w:pPr>
              <w:pStyle w:val="ListParagraph1"/>
              <w:numPr>
                <w:ilvl w:val="2"/>
                <w:numId w:val="1"/>
              </w:numPr>
              <w:spacing w:after="0" w:line="240" w:lineRule="auto"/>
            </w:pPr>
            <w:r w:rsidRPr="001A3C35">
              <w:rPr>
                <w:color w:val="000000"/>
              </w:rPr>
              <w:t xml:space="preserve"> </w:t>
            </w:r>
            <w:r w:rsidR="001A3C35">
              <w:rPr>
                <w:color w:val="000000"/>
              </w:rPr>
              <w:t>M</w:t>
            </w:r>
            <w:r w:rsidRPr="001A3C35">
              <w:t xml:space="preserve">ean </w:t>
            </w:r>
            <w:r w:rsidR="001A3C35">
              <w:t>E</w:t>
            </w:r>
            <w:r w:rsidRPr="001A3C35">
              <w:t xml:space="preserve">xcess </w:t>
            </w:r>
            <w:r w:rsidR="001A3C35">
              <w:t>Loss</w:t>
            </w:r>
            <w:r w:rsidR="0083316F" w:rsidRPr="001A3C35">
              <w:t>,</w:t>
            </w:r>
            <w:r w:rsidR="001A3C35">
              <w:t xml:space="preserve"> </w:t>
            </w:r>
            <w:r w:rsidR="0083316F" w:rsidRPr="001A3C35">
              <w:t>funkcia strednej nadmernej  škody</w:t>
            </w:r>
            <w:r w:rsidR="001A3C35">
              <w:br/>
            </w:r>
            <w:r w:rsidR="0083316F" w:rsidRPr="00E22658">
              <w:rPr>
                <w:position w:val="-12"/>
              </w:rPr>
              <w:object w:dxaOrig="2659" w:dyaOrig="360">
                <v:shape id="_x0000_i1026" type="#_x0000_t75" style="width:132.75pt;height:18pt" o:ole="">
                  <v:imagedata r:id="rId10" o:title=""/>
                </v:shape>
                <o:OLEObject Type="Embed" ProgID="Equation.DSMT4" ShapeID="_x0000_i1026" DrawAspect="Content" ObjectID="_1551896068" r:id="rId11"/>
              </w:object>
            </w:r>
          </w:p>
          <w:p w:rsidR="0020319B" w:rsidRDefault="0020319B" w:rsidP="00D81FE1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Teória krachu</w:t>
            </w:r>
          </w:p>
          <w:p w:rsidR="0076568D" w:rsidRDefault="001A3C35" w:rsidP="00A64F0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Diverzifikácia</w:t>
            </w:r>
          </w:p>
          <w:p w:rsidR="005D20FC" w:rsidRDefault="00D81FE1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5D20FC">
              <w:rPr>
                <w:lang w:val="sk-SK"/>
              </w:rPr>
              <w:t xml:space="preserve"> rozdiel medzi systematickým a diverzifikovateľným rizikom</w:t>
            </w:r>
          </w:p>
          <w:p w:rsidR="008F4C98" w:rsidRDefault="00087EEB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Určiť</w:t>
            </w:r>
            <w:r w:rsidR="008F4C98">
              <w:rPr>
                <w:lang w:val="sk-SK"/>
              </w:rPr>
              <w:t xml:space="preserve"> korelačnú maticu medzi dvoma a viacerými rizikami</w:t>
            </w:r>
          </w:p>
          <w:p w:rsidR="008F4C98" w:rsidRDefault="008F4C98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Spôsob alokácie efektu diverzifikácie medzi poistné produkty (respektíve právne subjekty)</w:t>
            </w:r>
          </w:p>
          <w:p w:rsidR="00C77800" w:rsidRPr="0083316F" w:rsidRDefault="00C77800" w:rsidP="001A3C35">
            <w:pPr>
              <w:pStyle w:val="ListParagraph1"/>
              <w:spacing w:after="0" w:line="240" w:lineRule="auto"/>
              <w:rPr>
                <w:i/>
                <w:lang w:val="sk-SK"/>
              </w:rPr>
            </w:pPr>
          </w:p>
          <w:p w:rsidR="003976BD" w:rsidRPr="006336F9" w:rsidRDefault="0076568D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bCs/>
                <w:sz w:val="24"/>
                <w:szCs w:val="24"/>
                <w:lang w:val="sk-SK" w:eastAsia="sk-SK"/>
              </w:rPr>
            </w:pPr>
            <w:r w:rsidRPr="006336F9">
              <w:rPr>
                <w:lang w:val="sk-SK"/>
              </w:rPr>
              <w:t xml:space="preserve">Dynamické finančné analýzy </w:t>
            </w:r>
            <w:r w:rsidR="00731E4A" w:rsidRPr="006336F9">
              <w:rPr>
                <w:lang w:val="sk-SK"/>
              </w:rPr>
              <w:t xml:space="preserve">(DFA) </w:t>
            </w:r>
            <w:r w:rsidR="001A3C35" w:rsidRPr="006336F9">
              <w:rPr>
                <w:lang w:val="sk-SK"/>
              </w:rPr>
              <w:t>a interné modely</w:t>
            </w:r>
          </w:p>
          <w:p w:rsidR="00D81FE1" w:rsidDel="006D1AC0" w:rsidRDefault="00D81FE1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del w:id="0" w:author="Holesova, Janka" w:date="2017-03-24T21:26:00Z"/>
                <w:lang w:val="sk-SK"/>
              </w:rPr>
            </w:pPr>
            <w:bookmarkStart w:id="1" w:name="_GoBack"/>
            <w:bookmarkEnd w:id="1"/>
            <w:del w:id="2" w:author="Holesova, Janka" w:date="2017-03-24T21:26:00Z">
              <w:r w:rsidDel="006D1AC0">
                <w:rPr>
                  <w:lang w:val="sk-SK"/>
                </w:rPr>
                <w:delText>Popísať</w:delText>
              </w:r>
              <w:r w:rsidR="00731E4A" w:rsidDel="006D1AC0">
                <w:rPr>
                  <w:lang w:val="sk-SK"/>
                </w:rPr>
                <w:delText xml:space="preserve"> rozdiel medzi dynamickou finančnou analýzou a </w:delText>
              </w:r>
              <w:r w:rsidR="00354268" w:rsidRPr="00683AC9" w:rsidDel="006D1AC0">
                <w:rPr>
                  <w:lang w:val="sk-SK"/>
                </w:rPr>
                <w:delText>analýzou scenárov</w:delText>
              </w:r>
            </w:del>
          </w:p>
          <w:p w:rsidR="003976BD" w:rsidDel="006D1AC0" w:rsidRDefault="00731E4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del w:id="3" w:author="Holesova, Janka" w:date="2017-03-24T21:26:00Z"/>
                <w:lang w:val="sk-SK"/>
              </w:rPr>
            </w:pPr>
            <w:del w:id="4" w:author="Holesova, Janka" w:date="2017-03-24T21:26:00Z">
              <w:r w:rsidDel="006D1AC0">
                <w:rPr>
                  <w:lang w:val="sk-SK"/>
                </w:rPr>
                <w:delText>Vysvetliť dôvody použitia dynamických finančných analýz v neživotnom poistení a hlavné výhody tohto prístupu</w:delText>
              </w:r>
              <w:r w:rsidR="00D72B40" w:rsidDel="006D1AC0">
                <w:rPr>
                  <w:lang w:val="sk-SK"/>
                </w:rPr>
                <w:delText>. Na čo môžu byť dynamické analýzy použité.</w:delText>
              </w:r>
            </w:del>
          </w:p>
          <w:p w:rsidR="00D72B40" w:rsidDel="006D1AC0" w:rsidRDefault="005516FE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del w:id="5" w:author="Holesova, Janka" w:date="2017-03-24T21:26:00Z"/>
                <w:lang w:val="sk-SK"/>
              </w:rPr>
            </w:pPr>
            <w:del w:id="6" w:author="Holesova, Janka" w:date="2017-03-24T21:26:00Z">
              <w:r w:rsidRPr="00A64F01" w:rsidDel="006D1AC0">
                <w:rPr>
                  <w:lang w:val="sk-SK"/>
                </w:rPr>
                <w:delText>Popí</w:delText>
              </w:r>
              <w:r w:rsidR="0083316F" w:rsidDel="006D1AC0">
                <w:rPr>
                  <w:lang w:val="sk-SK"/>
                </w:rPr>
                <w:delText>sať</w:delText>
              </w:r>
              <w:r w:rsidRPr="00A64F01" w:rsidDel="006D1AC0">
                <w:rPr>
                  <w:lang w:val="sk-SK"/>
                </w:rPr>
                <w:delText xml:space="preserve"> </w:delText>
              </w:r>
              <w:r w:rsidR="0083316F" w:rsidRPr="00A64F01" w:rsidDel="006D1AC0">
                <w:rPr>
                  <w:lang w:val="sk-SK"/>
                </w:rPr>
                <w:delText>základnú</w:delText>
              </w:r>
              <w:r w:rsidR="00D72B40" w:rsidDel="006D1AC0">
                <w:rPr>
                  <w:lang w:val="sk-SK"/>
                </w:rPr>
                <w:delText xml:space="preserve"> konštrukciu DFA modelu a </w:delText>
              </w:r>
              <w:r w:rsidRPr="00A64F01" w:rsidDel="006D1AC0">
                <w:rPr>
                  <w:lang w:val="sk-SK"/>
                </w:rPr>
                <w:delText>popí</w:delText>
              </w:r>
              <w:r w:rsidR="0083316F" w:rsidDel="006D1AC0">
                <w:rPr>
                  <w:lang w:val="sk-SK"/>
                </w:rPr>
                <w:delText>sať</w:delText>
              </w:r>
              <w:r w:rsidR="00D72B40" w:rsidDel="006D1AC0">
                <w:rPr>
                  <w:lang w:val="sk-SK"/>
                </w:rPr>
                <w:delText xml:space="preserve"> základné riziká, ktoré je možné pomocou tohto modelu merať.</w:delText>
              </w:r>
            </w:del>
          </w:p>
          <w:p w:rsidR="00D72B40" w:rsidDel="006D1AC0" w:rsidRDefault="005516FE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del w:id="7" w:author="Holesova, Janka" w:date="2017-03-24T21:26:00Z"/>
                <w:lang w:val="sk-SK"/>
              </w:rPr>
            </w:pPr>
            <w:del w:id="8" w:author="Holesova, Janka" w:date="2017-03-24T21:26:00Z">
              <w:r w:rsidRPr="00A64F01" w:rsidDel="006D1AC0">
                <w:rPr>
                  <w:lang w:val="sk-SK"/>
                </w:rPr>
                <w:delText>Uv</w:delText>
              </w:r>
              <w:r w:rsidR="0083316F" w:rsidDel="006D1AC0">
                <w:rPr>
                  <w:lang w:val="sk-SK"/>
                </w:rPr>
                <w:delText>iesť</w:delText>
              </w:r>
              <w:r w:rsidR="00D72B40" w:rsidDel="006D1AC0">
                <w:rPr>
                  <w:lang w:val="sk-SK"/>
                </w:rPr>
                <w:delText xml:space="preserve"> základné premenné, ktoré ovplyvňujú peňažné toky a </w:delText>
              </w:r>
              <w:r w:rsidRPr="00A64F01" w:rsidDel="006D1AC0">
                <w:rPr>
                  <w:lang w:val="sk-SK"/>
                </w:rPr>
                <w:delText>navrhn</w:delText>
              </w:r>
              <w:r w:rsidR="0083316F" w:rsidDel="006D1AC0">
                <w:rPr>
                  <w:lang w:val="sk-SK"/>
                </w:rPr>
                <w:delText>úť</w:delText>
              </w:r>
              <w:r w:rsidR="00D72B40" w:rsidDel="006D1AC0">
                <w:rPr>
                  <w:lang w:val="sk-SK"/>
                </w:rPr>
                <w:delText>, ktoré je vhodné modelovať stochasticky a ktoré deterministicky</w:delText>
              </w:r>
            </w:del>
          </w:p>
          <w:p w:rsidR="00D72B40" w:rsidDel="006D1AC0" w:rsidRDefault="00D72B40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del w:id="9" w:author="Holesova, Janka" w:date="2017-03-24T21:26:00Z"/>
                <w:lang w:val="sk-SK"/>
              </w:rPr>
            </w:pPr>
            <w:del w:id="10" w:author="Holesova, Janka" w:date="2017-03-24T21:26:00Z">
              <w:r w:rsidDel="006D1AC0">
                <w:rPr>
                  <w:lang w:val="sk-SK"/>
                </w:rPr>
                <w:delText>Stochastické modely pre ekonomické scenáre</w:delText>
              </w:r>
            </w:del>
          </w:p>
          <w:p w:rsidR="00D72B40" w:rsidDel="006D1AC0" w:rsidRDefault="00D72B40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del w:id="11" w:author="Holesova, Janka" w:date="2017-03-24T21:26:00Z"/>
                <w:lang w:val="sk-SK"/>
              </w:rPr>
            </w:pPr>
            <w:del w:id="12" w:author="Holesova, Janka" w:date="2017-03-24T21:26:00Z">
              <w:r w:rsidDel="006D1AC0">
                <w:rPr>
                  <w:lang w:val="sk-SK"/>
                </w:rPr>
                <w:delText>Stochastické prístupy k modelovaniu škôd – štandardných a</w:delText>
              </w:r>
              <w:r w:rsidR="00EC3AA4" w:rsidDel="006D1AC0">
                <w:rPr>
                  <w:lang w:val="sk-SK"/>
                </w:rPr>
                <w:delText> </w:delText>
              </w:r>
              <w:r w:rsidDel="006D1AC0">
                <w:rPr>
                  <w:lang w:val="sk-SK"/>
                </w:rPr>
                <w:delText>katastrofických</w:delText>
              </w:r>
            </w:del>
          </w:p>
          <w:p w:rsidR="00EC3AA4" w:rsidRPr="0076568D" w:rsidDel="006D1AC0" w:rsidRDefault="00A16C86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del w:id="13" w:author="Holesova, Janka" w:date="2017-03-24T21:26:00Z"/>
                <w:lang w:val="sk-SK"/>
              </w:rPr>
            </w:pPr>
            <w:del w:id="14" w:author="Holesova, Janka" w:date="2017-03-24T21:26:00Z">
              <w:r w:rsidDel="006D1AC0">
                <w:rPr>
                  <w:lang w:val="sk-SK"/>
                </w:rPr>
                <w:delText>Stoch</w:delText>
              </w:r>
              <w:r w:rsidR="00EC3AA4" w:rsidDel="006D1AC0">
                <w:rPr>
                  <w:lang w:val="sk-SK"/>
                </w:rPr>
                <w:delText>a</w:delText>
              </w:r>
              <w:r w:rsidDel="006D1AC0">
                <w:rPr>
                  <w:lang w:val="sk-SK"/>
                </w:rPr>
                <w:delText>s</w:delText>
              </w:r>
              <w:r w:rsidR="00EC3AA4" w:rsidDel="006D1AC0">
                <w:rPr>
                  <w:lang w:val="sk-SK"/>
                </w:rPr>
                <w:delText>tický prístup k modelovaniu výplaty škôd v čase</w:delText>
              </w:r>
            </w:del>
          </w:p>
          <w:p w:rsidR="0076568D" w:rsidRDefault="0076568D" w:rsidP="00A64F0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76568D">
              <w:rPr>
                <w:lang w:val="sk-SK"/>
              </w:rPr>
              <w:t>Kapitálové požiadavky</w:t>
            </w:r>
          </w:p>
          <w:p w:rsidR="00087EEB" w:rsidRDefault="00087EEB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Zadefinovať </w:t>
            </w:r>
            <w:r w:rsidR="004D109A">
              <w:rPr>
                <w:lang w:val="sk-SK"/>
              </w:rPr>
              <w:t>požadovanú mieru solventnosti, skutočnú mieru solventnosti a garančný fond</w:t>
            </w:r>
            <w:r>
              <w:rPr>
                <w:lang w:val="sk-SK"/>
              </w:rPr>
              <w:t xml:space="preserve"> v prostredí Solventnosti I</w:t>
            </w:r>
          </w:p>
          <w:p w:rsidR="004D109A" w:rsidRDefault="004D109A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Zadefinovať požadovanú mieru solventnosti </w:t>
            </w:r>
            <w:r w:rsidR="00EC3AA4">
              <w:rPr>
                <w:lang w:val="sk-SK"/>
              </w:rPr>
              <w:t xml:space="preserve">(kapitálovú požiadavku na solventnosť) </w:t>
            </w:r>
            <w:r>
              <w:rPr>
                <w:lang w:val="sk-SK"/>
              </w:rPr>
              <w:t xml:space="preserve">a minimálnu mieru solventnosti </w:t>
            </w:r>
            <w:r w:rsidR="00EC3AA4">
              <w:rPr>
                <w:lang w:val="sk-SK"/>
              </w:rPr>
              <w:t xml:space="preserve">(minimálnu kapitálovú požiadavku) </w:t>
            </w:r>
            <w:r>
              <w:rPr>
                <w:lang w:val="sk-SK"/>
              </w:rPr>
              <w:t>v prostredí Solventnosti II</w:t>
            </w:r>
          </w:p>
          <w:p w:rsidR="00087EEB" w:rsidRDefault="00087EEB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Určiť štruktúru </w:t>
            </w:r>
            <w:r w:rsidR="004D109A">
              <w:rPr>
                <w:lang w:val="sk-SK"/>
              </w:rPr>
              <w:t xml:space="preserve">a výpočet požadovanej miery solventnosti </w:t>
            </w:r>
            <w:r>
              <w:rPr>
                <w:lang w:val="sk-SK"/>
              </w:rPr>
              <w:t>pri použití štandardného modelu</w:t>
            </w:r>
          </w:p>
          <w:p w:rsidR="00087EEB" w:rsidRDefault="00087EEB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lastRenderedPageBreak/>
              <w:t>Popísať spôsob výpočtu kapitálovej požiadavky pre operačné riziko</w:t>
            </w:r>
          </w:p>
          <w:p w:rsidR="00087EEB" w:rsidRDefault="00087EEB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spôsob výpočtu kapitálovej požiadavky pre riziko vyplývajúce z nehmotných aktív</w:t>
            </w:r>
          </w:p>
          <w:p w:rsidR="004D109A" w:rsidRDefault="004D109A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podmoduly a spôsob výpočtu kapitálovej požiadavky pre trhové riziko</w:t>
            </w:r>
          </w:p>
          <w:p w:rsidR="004D109A" w:rsidRDefault="004D109A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podmoduly a spôsob výpočtu kapitálovej požiadavky pre kreditné riziko</w:t>
            </w:r>
          </w:p>
          <w:p w:rsidR="004D109A" w:rsidRDefault="004D109A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podmoduly a spôsob výpočtu kapitálovej požiadavky pre poistné riziko – životné poistenie</w:t>
            </w:r>
          </w:p>
          <w:p w:rsidR="004D109A" w:rsidRDefault="004D109A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podmoduly a spôsob výpočtu kapitálovej požiadavky pre poistné riziko – neživotné poistenie</w:t>
            </w:r>
          </w:p>
          <w:p w:rsidR="004D109A" w:rsidRDefault="004D109A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podmoduly a spôsob výpočtu kapitálovej požiadavky pre poistné riziko – zdravotné poistenie</w:t>
            </w:r>
          </w:p>
          <w:p w:rsidR="00087EEB" w:rsidRDefault="004D109A" w:rsidP="00A64F0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Určiť vlastné zdroje v ekonomickej súvahe</w:t>
            </w:r>
          </w:p>
          <w:p w:rsidR="00A947B7" w:rsidRDefault="00A947B7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Zadefinovať vlastné zdroje </w:t>
            </w:r>
          </w:p>
          <w:p w:rsidR="00A947B7" w:rsidRDefault="00A947B7" w:rsidP="00A64F01">
            <w:pPr>
              <w:pStyle w:val="ListParagraph1"/>
              <w:numPr>
                <w:ilvl w:val="3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Základné vlastné zdroje</w:t>
            </w:r>
          </w:p>
          <w:p w:rsidR="00A947B7" w:rsidRDefault="00EC3AA4" w:rsidP="00A64F01">
            <w:pPr>
              <w:pStyle w:val="ListParagraph1"/>
              <w:numPr>
                <w:ilvl w:val="3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Doplnkové (ancillary) </w:t>
            </w:r>
            <w:r w:rsidR="00A947B7">
              <w:rPr>
                <w:lang w:val="sk-SK"/>
              </w:rPr>
              <w:t xml:space="preserve">vlastné zdroje </w:t>
            </w:r>
          </w:p>
          <w:p w:rsidR="004D109A" w:rsidRDefault="004D109A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Hlavné </w:t>
            </w:r>
            <w:r w:rsidR="00A947B7">
              <w:rPr>
                <w:lang w:val="sk-SK"/>
              </w:rPr>
              <w:t>princípy</w:t>
            </w:r>
            <w:r>
              <w:rPr>
                <w:lang w:val="sk-SK"/>
              </w:rPr>
              <w:t xml:space="preserve"> v o</w:t>
            </w:r>
            <w:r w:rsidR="00A947B7">
              <w:rPr>
                <w:lang w:val="sk-SK"/>
              </w:rPr>
              <w:t>hodnocovania</w:t>
            </w:r>
            <w:r>
              <w:rPr>
                <w:lang w:val="sk-SK"/>
              </w:rPr>
              <w:t xml:space="preserve"> aktív a pasív </w:t>
            </w:r>
          </w:p>
          <w:p w:rsidR="00E66436" w:rsidRPr="00A947B7" w:rsidRDefault="00A947B7" w:rsidP="00A64F01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Triedy vlastných zdrojov</w:t>
            </w:r>
          </w:p>
          <w:p w:rsidR="00E66436" w:rsidRPr="00E66436" w:rsidRDefault="00E66436" w:rsidP="00A64F01">
            <w:pPr>
              <w:spacing w:after="0" w:line="240" w:lineRule="auto"/>
              <w:rPr>
                <w:lang w:val="sk-SK"/>
              </w:rPr>
            </w:pPr>
          </w:p>
        </w:tc>
      </w:tr>
      <w:tr w:rsidR="00F178FE">
        <w:tc>
          <w:tcPr>
            <w:tcW w:w="9576" w:type="dxa"/>
          </w:tcPr>
          <w:p w:rsidR="00F178FE" w:rsidRDefault="00E66436" w:rsidP="00A64F01">
            <w:pPr>
              <w:spacing w:after="0" w:line="240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Odporúčaná literatúra:</w:t>
            </w:r>
          </w:p>
          <w:p w:rsidR="00731E4A" w:rsidRPr="00E66436" w:rsidRDefault="00731E4A" w:rsidP="00A64F01">
            <w:pPr>
              <w:spacing w:after="0" w:line="240" w:lineRule="auto"/>
              <w:rPr>
                <w:i/>
                <w:lang w:val="sk-SK"/>
              </w:rPr>
            </w:pPr>
            <w:r w:rsidRPr="00E22658">
              <w:rPr>
                <w:lang w:val="sk-SK"/>
              </w:rPr>
              <w:t>INTRODUCTION TO DYNAMIC FINANCIAL ANALYSIS -  ROGER KAUFMANN, ANDREAS GADMER AND RALF KLETT</w:t>
            </w:r>
            <w:r w:rsidR="00A80859" w:rsidRPr="00E22658">
              <w:rPr>
                <w:lang w:val="sk-SK"/>
              </w:rPr>
              <w:t xml:space="preserve"> (http://www.actuaries.org/LIBRARY/ASTIN/vol31no1/213.pdf)</w:t>
            </w:r>
          </w:p>
        </w:tc>
      </w:tr>
      <w:tr w:rsidR="00F178FE">
        <w:tc>
          <w:tcPr>
            <w:tcW w:w="9576" w:type="dxa"/>
            <w:tcBorders>
              <w:bottom w:val="single" w:sz="4" w:space="0" w:color="D9D9D9"/>
            </w:tcBorders>
          </w:tcPr>
          <w:p w:rsidR="00F178FE" w:rsidRPr="00E66436" w:rsidRDefault="00E66436" w:rsidP="00A64F01">
            <w:pPr>
              <w:spacing w:after="0" w:line="240" w:lineRule="auto"/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Univerzitné predmety pokrývajúce sylabus:</w:t>
            </w:r>
          </w:p>
          <w:p w:rsidR="00E66436" w:rsidRPr="00E66436" w:rsidRDefault="00E66436" w:rsidP="00A64F01">
            <w:pPr>
              <w:spacing w:after="0" w:line="240" w:lineRule="auto"/>
              <w:rPr>
                <w:i/>
                <w:lang w:val="sk-SK"/>
              </w:rPr>
            </w:pPr>
          </w:p>
        </w:tc>
      </w:tr>
    </w:tbl>
    <w:p w:rsidR="00CD3E2A" w:rsidRDefault="00CD3E2A"/>
    <w:sectPr w:rsidR="00CD3E2A" w:rsidSect="00CC3EBC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D18" w:rsidRDefault="003D7D18" w:rsidP="00F178FE">
      <w:pPr>
        <w:spacing w:after="0" w:line="240" w:lineRule="auto"/>
      </w:pPr>
      <w:r>
        <w:separator/>
      </w:r>
    </w:p>
  </w:endnote>
  <w:endnote w:type="continuationSeparator" w:id="0">
    <w:p w:rsidR="003D7D18" w:rsidRDefault="003D7D18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8FE" w:rsidRPr="00F178FE" w:rsidRDefault="007819C8" w:rsidP="00E66436">
    <w:pPr>
      <w:pStyle w:val="Footer"/>
      <w:jc w:val="right"/>
      <w:rPr>
        <w:lang w:val="sk-SK"/>
      </w:rPr>
    </w:pPr>
    <w:r>
      <w:rPr>
        <w:lang w:val="sk-SK"/>
      </w:rPr>
      <w:t>6. 3. 2015</w:t>
    </w:r>
    <w:r w:rsidR="00E66436">
      <w:rPr>
        <w:lang w:val="sk-SK"/>
      </w:rPr>
      <w:tab/>
    </w:r>
    <w:r w:rsidR="00E66436">
      <w:rPr>
        <w:lang w:val="sk-SK"/>
      </w:rPr>
      <w:tab/>
    </w:r>
    <w:r w:rsidR="00F178FE">
      <w:rPr>
        <w:lang w:val="sk-SK"/>
      </w:rPr>
      <w:t xml:space="preserve">Strana </w:t>
    </w:r>
    <w:r w:rsidR="00492A7C">
      <w:rPr>
        <w:lang w:val="sk-SK"/>
      </w:rPr>
      <w:fldChar w:fldCharType="begin"/>
    </w:r>
    <w:r w:rsidR="00F178FE">
      <w:rPr>
        <w:lang w:val="sk-SK"/>
      </w:rPr>
      <w:instrText xml:space="preserve"> PAGE  \* Arabic  \* MERGEFORMAT </w:instrText>
    </w:r>
    <w:r w:rsidR="00492A7C">
      <w:rPr>
        <w:lang w:val="sk-SK"/>
      </w:rPr>
      <w:fldChar w:fldCharType="separate"/>
    </w:r>
    <w:r w:rsidR="006D1AC0">
      <w:rPr>
        <w:noProof/>
        <w:lang w:val="sk-SK"/>
      </w:rPr>
      <w:t>1</w:t>
    </w:r>
    <w:r w:rsidR="00492A7C">
      <w:rPr>
        <w:lang w:val="sk-SK"/>
      </w:rPr>
      <w:fldChar w:fldCharType="end"/>
    </w:r>
    <w:r w:rsidR="00F178FE">
      <w:rPr>
        <w:lang w:val="sk-SK"/>
      </w:rPr>
      <w:t>/</w:t>
    </w:r>
    <w:r w:rsidR="003D7D18">
      <w:fldChar w:fldCharType="begin"/>
    </w:r>
    <w:r w:rsidR="003D7D18">
      <w:instrText xml:space="preserve"> SECTIONPAGES  \* Arabic  \* MERGEFORMAT </w:instrText>
    </w:r>
    <w:r w:rsidR="003D7D18">
      <w:fldChar w:fldCharType="separate"/>
    </w:r>
    <w:r w:rsidR="006D1AC0" w:rsidRPr="006D1AC0">
      <w:rPr>
        <w:noProof/>
        <w:lang w:val="sk-SK"/>
      </w:rPr>
      <w:t>2</w:t>
    </w:r>
    <w:r w:rsidR="003D7D18">
      <w:rPr>
        <w:noProof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D18" w:rsidRDefault="003D7D18" w:rsidP="00F178FE">
      <w:pPr>
        <w:spacing w:after="0" w:line="240" w:lineRule="auto"/>
      </w:pPr>
      <w:r>
        <w:separator/>
      </w:r>
    </w:p>
  </w:footnote>
  <w:footnote w:type="continuationSeparator" w:id="0">
    <w:p w:rsidR="003D7D18" w:rsidRDefault="003D7D18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8FE" w:rsidRDefault="001A3C35">
    <w:pPr>
      <w:pStyle w:val="Header"/>
    </w:pPr>
    <w:r>
      <w:rPr>
        <w:noProof/>
        <w:lang w:val="de-CH" w:eastAsia="de-CH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0" t="0" r="0" b="9525"/>
          <wp:wrapNone/>
          <wp:docPr id="5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  <w:lang w:val="de-CH" w:eastAsia="de-CH"/>
      </w:rPr>
      <w:drawing>
        <wp:inline distT="0" distB="0" distL="0" distR="0">
          <wp:extent cx="1028700" cy="485775"/>
          <wp:effectExtent l="0" t="0" r="0" b="9525"/>
          <wp:docPr id="3" name="Picture 1" descr="Slovenská spoločnosť aktuárov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1AC0"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-942975</wp:posOffset>
              </wp:positionH>
              <wp:positionV relativeFrom="paragraph">
                <wp:posOffset>-306705</wp:posOffset>
              </wp:positionV>
              <wp:extent cx="7800975" cy="561975"/>
              <wp:effectExtent l="0" t="0" r="28575" b="47625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00975" cy="56197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ffectLst>
                        <a:outerShdw dist="28398" dir="3806097" algn="ctr" rotWithShape="0">
                          <a:srgbClr val="243F60">
                            <a:alpha val="50000"/>
                          </a:srgb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3810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16FE" w:rsidRPr="00A64F01" w:rsidRDefault="005516FE">
                          <w:pPr>
                            <w:rPr>
                              <w:color w:val="FFFFFF"/>
                              <w:lang w:val="sk-SK"/>
                            </w:rPr>
                          </w:pPr>
                          <w:r w:rsidRPr="00A64F01">
                            <w:rPr>
                              <w:color w:val="FFFFFF"/>
                              <w:lang w:val="sk-SK"/>
                            </w:rPr>
                            <w:t>Slovenská spoločnosť aktuárov</w:t>
                          </w:r>
                        </w:p>
                        <w:p w:rsidR="005516FE" w:rsidRPr="00A64F01" w:rsidRDefault="005516FE">
                          <w:pPr>
                            <w:rPr>
                              <w:b/>
                              <w:color w:val="FFFFFF"/>
                              <w:lang w:val="sk-SK"/>
                            </w:rPr>
                          </w:pPr>
                          <w:r w:rsidRPr="00A64F01">
                            <w:rPr>
                              <w:b/>
                              <w:color w:val="FFFFFF"/>
                              <w:lang w:val="sk-SK"/>
                            </w:rPr>
                            <w:t>Predmet B6 – Kvantitatívny manažment rizika a solventnosť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-74.25pt;margin-top:-24.15pt;width:614.2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" fillcolor="#4f81bd" stroked="f" strokecolor="#f2f2f2" strokeweight="3pt">
              <v:shadow on="t" color="#243f60" opacity=".5" offset="1pt"/>
              <v:textbox>
                <w:txbxContent>
                  <w:p w:rsidR="005516FE" w:rsidRPr="00A64F01" w:rsidRDefault="005516FE">
                    <w:pPr>
                      <w:rPr>
                        <w:color w:val="FFFFFF"/>
                        <w:lang w:val="sk-SK"/>
                      </w:rPr>
                    </w:pPr>
                    <w:r w:rsidRPr="00A64F01">
                      <w:rPr>
                        <w:color w:val="FFFFFF"/>
                        <w:lang w:val="sk-SK"/>
                      </w:rPr>
                      <w:t>Slovenská spoločnosť aktuárov</w:t>
                    </w:r>
                  </w:p>
                  <w:p w:rsidR="005516FE" w:rsidRPr="00A64F01" w:rsidRDefault="005516FE">
                    <w:pPr>
                      <w:rPr>
                        <w:b/>
                        <w:color w:val="FFFFFF"/>
                        <w:lang w:val="sk-SK"/>
                      </w:rPr>
                    </w:pPr>
                    <w:r w:rsidRPr="00A64F01">
                      <w:rPr>
                        <w:b/>
                        <w:color w:val="FFFFFF"/>
                        <w:lang w:val="sk-SK"/>
                      </w:rPr>
                      <w:t>Predmet B6 – Kvantitatívny manažment rizika a solventnosť</w:t>
                    </w:r>
                  </w:p>
                </w:txbxContent>
              </v:textbox>
            </v:rect>
          </w:pict>
        </mc:Fallback>
      </mc:AlternateContent>
    </w:r>
    <w:r w:rsidR="00F178FE">
      <w:rPr>
        <w:rFonts w:ascii="Verdana" w:hAnsi="Verdana"/>
        <w:noProof/>
        <w:color w:val="0F495C"/>
        <w:sz w:val="17"/>
        <w:szCs w:val="17"/>
        <w:lang w:val="de-CH" w:eastAsia="de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19050" t="0" r="0" b="0"/>
          <wp:wrapNone/>
          <wp:docPr id="7" name="Picture 7" descr="Slovenská spoločnosť aktuárov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178FE">
      <w:rPr>
        <w:rFonts w:ascii="Verdana" w:hAnsi="Verdana"/>
        <w:noProof/>
        <w:color w:val="0F495C"/>
        <w:sz w:val="17"/>
        <w:szCs w:val="17"/>
        <w:lang w:val="de-CH" w:eastAsia="de-CH"/>
      </w:rPr>
      <w:drawing>
        <wp:inline distT="0" distB="0" distL="0" distR="0">
          <wp:extent cx="1028700" cy="485775"/>
          <wp:effectExtent l="19050" t="0" r="0" b="0"/>
          <wp:docPr id="1" name="Picture 1" descr="Slovenská spoločnosť aktuárov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>
                    <a:hlinkClick r:id="rId3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D1AC0">
      <w:rPr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-942975</wp:posOffset>
              </wp:positionH>
              <wp:positionV relativeFrom="paragraph">
                <wp:posOffset>-306705</wp:posOffset>
              </wp:positionV>
              <wp:extent cx="7800975" cy="561975"/>
              <wp:effectExtent l="0" t="0" r="28575" b="4762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00975" cy="56197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>
                        <a:outerShdw dist="28398" dir="3806097" algn="ctr" rotWithShape="0">
                          <a:schemeClr val="accent1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78FE" w:rsidRPr="00F178FE" w:rsidRDefault="00F178FE">
                          <w:pPr>
                            <w:rPr>
                              <w:color w:val="FFFFFF" w:themeColor="background1"/>
                              <w:lang w:val="sk-SK"/>
                            </w:rPr>
                          </w:pPr>
                          <w:r w:rsidRPr="00F178FE">
                            <w:rPr>
                              <w:color w:val="FFFFFF" w:themeColor="background1"/>
                              <w:lang w:val="sk-SK"/>
                            </w:rPr>
                            <w:t>Slovenská spoločnosť aktuárov</w:t>
                          </w:r>
                        </w:p>
                        <w:p w:rsidR="00F178FE" w:rsidRPr="00F178FE" w:rsidRDefault="0076568D">
                          <w:pPr>
                            <w:rPr>
                              <w:b/>
                              <w:color w:val="FFFFFF" w:themeColor="background1"/>
                              <w:lang w:val="sk-SK"/>
                            </w:rPr>
                          </w:pPr>
                          <w:r>
                            <w:rPr>
                              <w:b/>
                              <w:color w:val="FFFFFF" w:themeColor="background1"/>
                              <w:lang w:val="sk-SK"/>
                            </w:rPr>
                            <w:t>Predmet B6</w:t>
                          </w:r>
                          <w:r w:rsidR="00F178FE" w:rsidRPr="00F178FE">
                            <w:rPr>
                              <w:b/>
                              <w:color w:val="FFFFFF" w:themeColor="background1"/>
                              <w:lang w:val="sk-SK"/>
                            </w:rPr>
                            <w:t xml:space="preserve"> – </w:t>
                          </w:r>
                          <w:r>
                            <w:rPr>
                              <w:b/>
                              <w:color w:val="FFFFFF" w:themeColor="background1"/>
                              <w:lang w:val="sk-SK"/>
                            </w:rPr>
                            <w:t>Kvantitatívny manažment rizika a solventnosť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7" style="position:absolute;margin-left:-74.25pt;margin-top:-24.15pt;width:614.2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" fillcolor="#4f81bd [3204]" stroked="f" strokecolor="#f2f2f2 [3041]" strokeweight="3pt">
              <v:shadow on="t" color="#243f60 [1604]" opacity=".5" offset="1pt"/>
              <v:textbox>
                <w:txbxContent>
                  <w:p w:rsidR="00F178FE" w:rsidRPr="00F178FE" w:rsidRDefault="00F178FE">
                    <w:pPr>
                      <w:rPr>
                        <w:color w:val="FFFFFF" w:themeColor="background1"/>
                        <w:lang w:val="sk-SK"/>
                      </w:rPr>
                    </w:pPr>
                    <w:r w:rsidRPr="00F178FE">
                      <w:rPr>
                        <w:color w:val="FFFFFF" w:themeColor="background1"/>
                        <w:lang w:val="sk-SK"/>
                      </w:rPr>
                      <w:t>Slovenská spoločnosť aktuárov</w:t>
                    </w:r>
                  </w:p>
                  <w:p w:rsidR="00F178FE" w:rsidRPr="00F178FE" w:rsidRDefault="0076568D">
                    <w:pPr>
                      <w:rPr>
                        <w:b/>
                        <w:color w:val="FFFFFF" w:themeColor="background1"/>
                        <w:lang w:val="sk-SK"/>
                      </w:rPr>
                    </w:pPr>
                    <w:r>
                      <w:rPr>
                        <w:b/>
                        <w:color w:val="FFFFFF" w:themeColor="background1"/>
                        <w:lang w:val="sk-SK"/>
                      </w:rPr>
                      <w:t>Predmet B6</w:t>
                    </w:r>
                    <w:r w:rsidR="00F178FE" w:rsidRPr="00F178FE">
                      <w:rPr>
                        <w:b/>
                        <w:color w:val="FFFFFF" w:themeColor="background1"/>
                        <w:lang w:val="sk-SK"/>
                      </w:rPr>
                      <w:t xml:space="preserve"> – </w:t>
                    </w:r>
                    <w:r>
                      <w:rPr>
                        <w:b/>
                        <w:color w:val="FFFFFF" w:themeColor="background1"/>
                        <w:lang w:val="sk-SK"/>
                      </w:rPr>
                      <w:t>Kvantitatívny manažment rizika a solventnosť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E48A6"/>
    <w:multiLevelType w:val="hybridMultilevel"/>
    <w:tmpl w:val="6C84634E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510BA1"/>
    <w:multiLevelType w:val="hybridMultilevel"/>
    <w:tmpl w:val="484A9B2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8FE"/>
    <w:rsid w:val="000217CE"/>
    <w:rsid w:val="00081CE5"/>
    <w:rsid w:val="00087EEB"/>
    <w:rsid w:val="000C49D6"/>
    <w:rsid w:val="0012315A"/>
    <w:rsid w:val="00137C94"/>
    <w:rsid w:val="001A3C35"/>
    <w:rsid w:val="001E4052"/>
    <w:rsid w:val="0020319B"/>
    <w:rsid w:val="002C0C3F"/>
    <w:rsid w:val="002F6B11"/>
    <w:rsid w:val="00354268"/>
    <w:rsid w:val="0037040A"/>
    <w:rsid w:val="003976BD"/>
    <w:rsid w:val="003D7D18"/>
    <w:rsid w:val="003E0CBC"/>
    <w:rsid w:val="003E7F66"/>
    <w:rsid w:val="0044545F"/>
    <w:rsid w:val="00492A7C"/>
    <w:rsid w:val="004D109A"/>
    <w:rsid w:val="004F4310"/>
    <w:rsid w:val="00500EB4"/>
    <w:rsid w:val="00514212"/>
    <w:rsid w:val="00542E31"/>
    <w:rsid w:val="0054458C"/>
    <w:rsid w:val="0054732B"/>
    <w:rsid w:val="005516FE"/>
    <w:rsid w:val="005D20FC"/>
    <w:rsid w:val="005D5599"/>
    <w:rsid w:val="006336F9"/>
    <w:rsid w:val="00666D75"/>
    <w:rsid w:val="00683AC9"/>
    <w:rsid w:val="006A0C80"/>
    <w:rsid w:val="006C720C"/>
    <w:rsid w:val="006D1AC0"/>
    <w:rsid w:val="006F7EB6"/>
    <w:rsid w:val="00731E4A"/>
    <w:rsid w:val="0076568D"/>
    <w:rsid w:val="007819C8"/>
    <w:rsid w:val="007C7335"/>
    <w:rsid w:val="0081588B"/>
    <w:rsid w:val="0083316F"/>
    <w:rsid w:val="00892AFE"/>
    <w:rsid w:val="008E21A5"/>
    <w:rsid w:val="008F4C98"/>
    <w:rsid w:val="00921D86"/>
    <w:rsid w:val="009C2553"/>
    <w:rsid w:val="00A12C32"/>
    <w:rsid w:val="00A16C86"/>
    <w:rsid w:val="00A64F01"/>
    <w:rsid w:val="00A80859"/>
    <w:rsid w:val="00A947B7"/>
    <w:rsid w:val="00A97AE2"/>
    <w:rsid w:val="00AF055C"/>
    <w:rsid w:val="00B766AF"/>
    <w:rsid w:val="00B94B41"/>
    <w:rsid w:val="00BB4A88"/>
    <w:rsid w:val="00C21817"/>
    <w:rsid w:val="00C77800"/>
    <w:rsid w:val="00C907B5"/>
    <w:rsid w:val="00CC3EBC"/>
    <w:rsid w:val="00CD3E2A"/>
    <w:rsid w:val="00D133F2"/>
    <w:rsid w:val="00D72B40"/>
    <w:rsid w:val="00D81FE1"/>
    <w:rsid w:val="00DA51B2"/>
    <w:rsid w:val="00DE4B20"/>
    <w:rsid w:val="00DF5BC2"/>
    <w:rsid w:val="00E22658"/>
    <w:rsid w:val="00E66436"/>
    <w:rsid w:val="00EA6291"/>
    <w:rsid w:val="00EC3AA4"/>
    <w:rsid w:val="00F178FE"/>
    <w:rsid w:val="00F27551"/>
    <w:rsid w:val="00F609BC"/>
    <w:rsid w:val="00FD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800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C77800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77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78F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nhideWhenUsed/>
    <w:rsid w:val="00C77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78FE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76568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C77800"/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paragraph" w:customStyle="1" w:styleId="ListParagraph1">
    <w:name w:val="List Paragraph1"/>
    <w:basedOn w:val="Normal"/>
    <w:rsid w:val="00C778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800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C77800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77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78F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nhideWhenUsed/>
    <w:rsid w:val="00C778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78FE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76568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C77800"/>
    <w:rPr>
      <w:rFonts w:ascii="Times New Roman" w:eastAsia="Times New Roman" w:hAnsi="Times New Roman" w:cs="Times New Roman"/>
      <w:b/>
      <w:bCs/>
      <w:sz w:val="24"/>
      <w:szCs w:val="24"/>
      <w:lang w:val="sk-SK" w:eastAsia="sk-SK"/>
    </w:rPr>
  </w:style>
  <w:style w:type="paragraph" w:customStyle="1" w:styleId="ListParagraph1">
    <w:name w:val="List Paragraph1"/>
    <w:basedOn w:val="Normal"/>
    <w:rsid w:val="00C77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ktuar.sk/?lg=1" TargetMode="External"/><Relationship Id="rId2" Type="http://schemas.openxmlformats.org/officeDocument/2006/relationships/image" Target="media/image3.png"/><Relationship Id="rId1" Type="http://schemas.openxmlformats.org/officeDocument/2006/relationships/hyperlink" Target="http://www.aktuar.sk/?lg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Zurich Insurance Company Ltd</Company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Holesova, Janka</cp:lastModifiedBy>
  <cp:revision>2</cp:revision>
  <dcterms:created xsi:type="dcterms:W3CDTF">2017-03-24T20:27:00Z</dcterms:created>
  <dcterms:modified xsi:type="dcterms:W3CDTF">2017-03-24T20:27:00Z</dcterms:modified>
</cp:coreProperties>
</file>