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576"/>
      </w:tblGrid>
      <w:tr w:rsidR="00F178FE" w:rsidRPr="00AA31CA" w:rsidTr="00F178FE">
        <w:tc>
          <w:tcPr>
            <w:tcW w:w="9576" w:type="dxa"/>
          </w:tcPr>
          <w:p w:rsidR="00F178FE" w:rsidRPr="00EB72B3" w:rsidRDefault="00F178FE">
            <w:pPr>
              <w:rPr>
                <w:b/>
                <w:lang w:val="sk-SK"/>
              </w:rPr>
            </w:pPr>
            <w:r w:rsidRPr="00EB72B3">
              <w:rPr>
                <w:b/>
                <w:lang w:val="sk-SK"/>
              </w:rPr>
              <w:t>Cieľ:</w:t>
            </w:r>
          </w:p>
          <w:p w:rsidR="00F178FE" w:rsidRPr="00EB72B3" w:rsidRDefault="00EB72B3" w:rsidP="00AA31CA">
            <w:pPr>
              <w:rPr>
                <w:lang w:val="sk-SK"/>
              </w:rPr>
            </w:pPr>
            <w:r w:rsidRPr="00EB72B3">
              <w:rPr>
                <w:lang w:val="sk-SK"/>
              </w:rPr>
              <w:t>Poskytnúť základy, porozumenie a aplikáciu právnych predpisov vzťahujúcich sa na finančné inštitúcie.</w:t>
            </w:r>
          </w:p>
        </w:tc>
      </w:tr>
      <w:tr w:rsidR="00F178FE" w:rsidRPr="00444274" w:rsidTr="00F178FE">
        <w:tc>
          <w:tcPr>
            <w:tcW w:w="9576" w:type="dxa"/>
          </w:tcPr>
          <w:p w:rsidR="00AA31CA" w:rsidRPr="00EB72B3" w:rsidRDefault="00E66436" w:rsidP="00F178FE">
            <w:pPr>
              <w:rPr>
                <w:b/>
                <w:lang w:val="sk-SK"/>
              </w:rPr>
            </w:pPr>
            <w:r w:rsidRPr="00EB72B3">
              <w:rPr>
                <w:b/>
                <w:lang w:val="sk-SK"/>
              </w:rPr>
              <w:t>Obsah predmetu:</w:t>
            </w:r>
          </w:p>
          <w:p w:rsidR="00AA31CA" w:rsidRDefault="00EB72B3" w:rsidP="00EB72B3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EB72B3">
              <w:rPr>
                <w:lang w:val="sk-SK"/>
              </w:rPr>
              <w:t>Právne predpisy upravujúce výkon dohľadu nad finančnými inštitúciami</w:t>
            </w:r>
          </w:p>
          <w:p w:rsidR="00EB72B3" w:rsidRDefault="00FD1C3D" w:rsidP="00EB72B3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hyperlink r:id="rId8" w:tgtFrame="_blank" w:tooltip=" [nové okno/new window]" w:history="1">
              <w:r w:rsidR="00EB72B3" w:rsidRPr="00225875">
                <w:rPr>
                  <w:rStyle w:val="Hyperlink"/>
                  <w:b/>
                  <w:bCs/>
                  <w:color w:val="auto"/>
                  <w:lang w:val="sk-SK"/>
                </w:rPr>
                <w:t xml:space="preserve">Zákon č. </w:t>
              </w:r>
              <w:r w:rsidR="00B340AB">
                <w:rPr>
                  <w:rStyle w:val="Hyperlink"/>
                  <w:b/>
                  <w:bCs/>
                  <w:color w:val="auto"/>
                  <w:lang w:val="sk-SK"/>
                </w:rPr>
                <w:t>39</w:t>
              </w:r>
              <w:r w:rsidR="00EB72B3" w:rsidRPr="00225875">
                <w:rPr>
                  <w:rStyle w:val="Hyperlink"/>
                  <w:b/>
                  <w:bCs/>
                  <w:color w:val="auto"/>
                  <w:lang w:val="sk-SK"/>
                </w:rPr>
                <w:t>/20</w:t>
              </w:r>
              <w:r w:rsidR="00B340AB">
                <w:rPr>
                  <w:rStyle w:val="Hyperlink"/>
                  <w:b/>
                  <w:bCs/>
                  <w:color w:val="auto"/>
                  <w:lang w:val="sk-SK"/>
                </w:rPr>
                <w:t>15</w:t>
              </w:r>
              <w:r w:rsidR="00EB72B3" w:rsidRPr="00225875">
                <w:rPr>
                  <w:rStyle w:val="Hyperlink"/>
                  <w:b/>
                  <w:bCs/>
                  <w:color w:val="auto"/>
                  <w:lang w:val="sk-SK"/>
                </w:rPr>
                <w:t xml:space="preserve"> Z. z.</w:t>
              </w:r>
            </w:hyperlink>
            <w:r w:rsidR="00EB72B3" w:rsidRPr="00225875">
              <w:rPr>
                <w:lang w:val="sk-SK"/>
              </w:rPr>
              <w:t xml:space="preserve"> o</w:t>
            </w:r>
            <w:r w:rsidR="00EB72B3">
              <w:rPr>
                <w:lang w:val="sk-SK"/>
              </w:rPr>
              <w:t> poisťovníctve</w:t>
            </w:r>
          </w:p>
          <w:p w:rsidR="00EB72B3" w:rsidRDefault="00FD1C3D" w:rsidP="00EB72B3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hyperlink r:id="rId9" w:tgtFrame="_blank" w:tooltip=" [nové okno/new window]" w:history="1">
              <w:r w:rsidR="00EB72B3" w:rsidRPr="00225875">
                <w:rPr>
                  <w:rStyle w:val="Hyperlink"/>
                  <w:b/>
                  <w:bCs/>
                  <w:color w:val="auto"/>
                  <w:lang w:val="sk-SK"/>
                </w:rPr>
                <w:t>Zákon č. 747/2004 Z. z.</w:t>
              </w:r>
            </w:hyperlink>
            <w:r w:rsidR="00EB72B3" w:rsidRPr="00225875">
              <w:rPr>
                <w:lang w:val="sk-SK"/>
              </w:rPr>
              <w:t xml:space="preserve"> o</w:t>
            </w:r>
            <w:r w:rsidR="00EB72B3">
              <w:rPr>
                <w:lang w:val="sk-SK"/>
              </w:rPr>
              <w:t> dohľade nad finančným trhom</w:t>
            </w:r>
          </w:p>
          <w:p w:rsidR="00955094" w:rsidRPr="009B3E41" w:rsidRDefault="00FD1C3D" w:rsidP="00955094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hyperlink r:id="rId10" w:tgtFrame="_blank" w:tooltip=" [nové okno/new window]" w:history="1">
              <w:r w:rsidR="00EB72B3" w:rsidRPr="00225875">
                <w:rPr>
                  <w:rStyle w:val="Hyperlink"/>
                  <w:b/>
                  <w:color w:val="auto"/>
                  <w:lang w:val="sk-SK"/>
                </w:rPr>
                <w:t>Smernica Európskeho parlamentu a Rady 2009/138/ES z 25. novembra 2009</w:t>
              </w:r>
              <w:r w:rsidR="00EB72B3" w:rsidRPr="00225875">
                <w:rPr>
                  <w:rStyle w:val="Hyperlink"/>
                  <w:color w:val="auto"/>
                  <w:lang w:val="sk-SK"/>
                </w:rPr>
                <w:t xml:space="preserve"> </w:t>
              </w:r>
              <w:r w:rsidR="00EB72B3" w:rsidRPr="00225875">
                <w:rPr>
                  <w:rStyle w:val="Hyperlink"/>
                  <w:color w:val="auto"/>
                  <w:u w:val="none"/>
                  <w:lang w:val="sk-SK"/>
                </w:rPr>
                <w:t>o zača</w:t>
              </w:r>
              <w:r w:rsidR="00EB72B3" w:rsidRPr="005E6A8D">
                <w:rPr>
                  <w:rStyle w:val="Hyperlink"/>
                  <w:color w:val="auto"/>
                  <w:u w:val="none"/>
                  <w:lang w:val="sk-SK"/>
                </w:rPr>
                <w:t>tí a vykonávaní poistenia a zaistenia (Solventnosť II)</w:t>
              </w:r>
            </w:hyperlink>
          </w:p>
          <w:p w:rsidR="009B3E41" w:rsidRDefault="009B3E41" w:rsidP="00955094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9B3E41">
              <w:rPr>
                <w:b/>
                <w:u w:val="single"/>
                <w:lang w:val="sk-SK"/>
              </w:rPr>
              <w:t>Delegované nariadenie Komisie (EÚ) 2015/35</w:t>
            </w:r>
            <w:r w:rsidRPr="009B3E41">
              <w:rPr>
                <w:lang w:val="sk-SK"/>
              </w:rPr>
              <w:t xml:space="preserve"> z 10. októbra 2014, ktorým sa dopĺňa smernica Európskeho parlamentu a Rady 2009/138/ES o začatí a vykonávaní poistenia a zaistenia </w:t>
            </w:r>
          </w:p>
          <w:p w:rsidR="00225875" w:rsidRPr="009B3E41" w:rsidDel="00DE2B09" w:rsidRDefault="00225875" w:rsidP="00955094">
            <w:pPr>
              <w:pStyle w:val="ListParagraph"/>
              <w:numPr>
                <w:ilvl w:val="1"/>
                <w:numId w:val="1"/>
              </w:numPr>
              <w:rPr>
                <w:del w:id="0" w:author="Holesova, Janka" w:date="2017-03-24T21:21:00Z"/>
                <w:lang w:val="sk-SK"/>
              </w:rPr>
            </w:pPr>
            <w:bookmarkStart w:id="1" w:name="_GoBack"/>
            <w:bookmarkEnd w:id="1"/>
            <w:del w:id="2" w:author="Holesova, Janka" w:date="2017-03-24T21:21:00Z">
              <w:r w:rsidRPr="009B3E41" w:rsidDel="00DE2B09">
                <w:rPr>
                  <w:rFonts w:ascii="Calibri" w:eastAsia="Times New Roman" w:hAnsi="Calibri" w:cs="Times New Roman"/>
                  <w:b/>
                  <w:lang w:val="sk-SK"/>
                </w:rPr>
                <w:delText>Smernice EÚ</w:delText>
              </w:r>
              <w:r w:rsidRPr="009B3E41" w:rsidDel="00DE2B09">
                <w:rPr>
                  <w:rFonts w:ascii="Calibri" w:eastAsia="Times New Roman" w:hAnsi="Calibri" w:cs="Times New Roman"/>
                  <w:lang w:val="sk-SK"/>
                </w:rPr>
                <w:delText xml:space="preserve"> upravujúce poisťovníctvo (životné poistenie, neživotné poistenie atď.)</w:delText>
              </w:r>
            </w:del>
          </w:p>
          <w:p w:rsidR="00225875" w:rsidRPr="00955094" w:rsidDel="00DE2B09" w:rsidRDefault="00225875" w:rsidP="00225875">
            <w:pPr>
              <w:ind w:left="709"/>
              <w:rPr>
                <w:del w:id="3" w:author="Holesova, Janka" w:date="2017-03-24T21:21:00Z"/>
                <w:rFonts w:ascii="Calibri" w:eastAsia="Times New Roman" w:hAnsi="Calibri" w:cs="Times New Roman"/>
                <w:b/>
                <w:lang w:val="sk-SK"/>
              </w:rPr>
            </w:pPr>
            <w:del w:id="4" w:author="Holesova, Janka" w:date="2017-03-24T21:21:00Z">
              <w:r w:rsidRPr="00955094" w:rsidDel="00DE2B09">
                <w:rPr>
                  <w:rFonts w:ascii="Calibri" w:eastAsia="Times New Roman" w:hAnsi="Calibri" w:cs="Times New Roman"/>
                  <w:lang w:val="sk-SK"/>
                </w:rPr>
                <w:delText>Charakteristika a fungovanie finančného trhu v EÚ, európskych štruktúr a </w:delText>
              </w:r>
              <w:r w:rsidRPr="00955094" w:rsidDel="00DE2B09">
                <w:rPr>
                  <w:rFonts w:ascii="Calibri" w:eastAsia="Times New Roman" w:hAnsi="Calibri" w:cs="Times New Roman"/>
                  <w:b/>
                  <w:lang w:val="sk-SK"/>
                </w:rPr>
                <w:delText>Európskeho systému finančného  dohľadu</w:delText>
              </w:r>
              <w:r w:rsidRPr="00955094" w:rsidDel="00DE2B09">
                <w:rPr>
                  <w:rFonts w:ascii="Calibri" w:eastAsia="Times New Roman" w:hAnsi="Calibri" w:cs="Times New Roman"/>
                  <w:lang w:val="sk-SK"/>
                </w:rPr>
                <w:delText xml:space="preserve"> na makroprudenciálnej úrovni (ESRB).  Oboznámenie sa s dohľadom nad obozretným podnikaním finančných inštitúcií (EBA, ESMA, EIOPA) v rámci EÚ.</w:delText>
              </w:r>
              <w:r w:rsidRPr="00955094" w:rsidDel="00DE2B09">
                <w:rPr>
                  <w:rFonts w:ascii="Calibri" w:eastAsia="Times New Roman" w:hAnsi="Calibri" w:cs="Times New Roman"/>
                  <w:b/>
                  <w:lang w:val="sk-SK"/>
                </w:rPr>
                <w:delText xml:space="preserve"> </w:delText>
              </w:r>
            </w:del>
          </w:p>
          <w:p w:rsidR="00225875" w:rsidRPr="00955094" w:rsidDel="00DE2B09" w:rsidRDefault="00FD1C3D" w:rsidP="00225875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ind w:left="1134" w:hanging="425"/>
              <w:rPr>
                <w:del w:id="5" w:author="Holesova, Janka" w:date="2017-03-24T21:21:00Z"/>
                <w:rFonts w:ascii="Calibri" w:eastAsia="Times New Roman" w:hAnsi="Calibri" w:cs="Times New Roman"/>
                <w:lang w:val="sk-SK"/>
              </w:rPr>
            </w:pPr>
            <w:del w:id="6" w:author="Holesova, Janka" w:date="2017-03-24T21:21:00Z"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"http://eur-lex.europa.eu/LexUriServ/LexUriServ.do?uri=OJ:L:2010:331:0001:0011:SK:pdf"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>Nariadenie 1092/2010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 xml:space="preserve"> o </w:delText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bCs/>
                  <w:lang w:val="sk-SK"/>
                </w:rPr>
                <w:delText>makroobozretnom dohľade</w:delText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 xml:space="preserve"> EÚ nad finančným systémom a o zriadení Európskeho výboru pre systémové riziká - ESRB.</w:delText>
              </w:r>
              <w:r w:rsidDel="00DE2B09">
                <w:fldChar w:fldCharType="begin"/>
              </w:r>
              <w:r w:rsidDel="00DE2B09">
                <w:delInstrText xml:space="preserve"> HYPERLINK "http://eur-</w:delInstrText>
              </w:r>
              <w:r w:rsidDel="00DE2B09">
                <w:delInstrText xml:space="preserve">lex.europa.eu/LexUriServ/LexUriServ.do?uri=OJ:L:2010:331:0012:0047:SK:pdf"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 xml:space="preserve"> 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</w:del>
          </w:p>
          <w:p w:rsidR="00225875" w:rsidRPr="00955094" w:rsidDel="00DE2B09" w:rsidRDefault="00FD1C3D" w:rsidP="00225875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ind w:left="1134" w:hanging="425"/>
              <w:rPr>
                <w:del w:id="7" w:author="Holesova, Janka" w:date="2017-03-24T21:21:00Z"/>
                <w:rFonts w:ascii="Calibri" w:eastAsia="Times New Roman" w:hAnsi="Calibri" w:cs="Times New Roman"/>
                <w:lang w:val="sk-SK"/>
              </w:rPr>
            </w:pPr>
            <w:del w:id="8" w:author="Holesova, Janka" w:date="2017-03-24T21:21:00Z"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"http://eur-lex.europa.eu/LexUriServ/LexUriServ.do?uri=OJ:L:2010:331:0012:0047:SK:pdf"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>Nariadenie 1093/2010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>, ktorým sa zriaďuje Európsky orgán pre bankovníctvo - EBA.</w:delText>
              </w:r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"http://eur-lex.europa.eu/LexUriServ/LexUriServ.do?uri=OJ:L:2010:331:0048:0083:SK:pdf"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 xml:space="preserve"> 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</w:del>
          </w:p>
          <w:p w:rsidR="00225875" w:rsidRPr="00955094" w:rsidDel="00DE2B09" w:rsidRDefault="00FD1C3D" w:rsidP="00225875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ind w:left="1134" w:hanging="425"/>
              <w:rPr>
                <w:del w:id="9" w:author="Holesova, Janka" w:date="2017-03-24T21:21:00Z"/>
                <w:rFonts w:ascii="Calibri" w:eastAsia="Times New Roman" w:hAnsi="Calibri" w:cs="Times New Roman"/>
                <w:lang w:val="sk-SK"/>
              </w:rPr>
            </w:pPr>
            <w:del w:id="10" w:author="Holesova, Janka" w:date="2017-03-24T21:21:00Z"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"http://eur-lex.europa.eu/LexUriServ/LexUriServ.do?uri=OJ:L:2010:331:0048:0083:SK:pdf"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>Nariadenie 1094/2010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>, ktorým sa zriaďuje Európsky orgán pre poisťovníctvo a dôchodkové poistenie zamestnancov - EIOPA.</w:delText>
              </w:r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"http://eur-lex.europa.eu/LexUriServ/LexUriServ.do?uri=OJ:L:2010:331:0084:0119:SK:pdf"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 xml:space="preserve"> 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</w:del>
          </w:p>
          <w:p w:rsidR="00225875" w:rsidRPr="00955094" w:rsidDel="00DE2B09" w:rsidRDefault="00FD1C3D" w:rsidP="00225875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ind w:left="1134" w:hanging="425"/>
              <w:rPr>
                <w:del w:id="11" w:author="Holesova, Janka" w:date="2017-03-24T21:21:00Z"/>
                <w:rFonts w:ascii="Calibri" w:eastAsia="Times New Roman" w:hAnsi="Calibri" w:cs="Times New Roman"/>
                <w:lang w:val="sk-SK"/>
              </w:rPr>
            </w:pPr>
            <w:del w:id="12" w:author="Holesova, Janka" w:date="2017-03-24T21:21:00Z"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"http://eur-lex.europa.eu/LexUriServ/LexUriServ.do?uri=OJ:L:2010:331:008</w:delInstrText>
              </w:r>
              <w:r w:rsidDel="00DE2B09">
                <w:delInstrText xml:space="preserve">4:0119:SK:pdf"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>Nariadenie 1095/2010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>, ktorým sa zriaďuje Európsky orgán pre cenné papiere a trhy - ESMA.</w:delText>
              </w:r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"http://eur-lex.europa.eu/LexUriServ/LexUriServ.do?uri=OJ:L:2010:331:0120:0161:SK:pdf"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 xml:space="preserve"> 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</w:del>
          </w:p>
          <w:p w:rsidR="00225875" w:rsidRPr="00955094" w:rsidDel="00DE2B09" w:rsidRDefault="00FD1C3D" w:rsidP="00225875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ind w:left="1134" w:hanging="425"/>
              <w:rPr>
                <w:del w:id="13" w:author="Holesova, Janka" w:date="2017-03-24T21:21:00Z"/>
                <w:rFonts w:ascii="Calibri" w:eastAsia="Times New Roman" w:hAnsi="Calibri" w:cs="Times New Roman"/>
                <w:lang w:val="sk-SK"/>
              </w:rPr>
            </w:pPr>
            <w:del w:id="14" w:author="Holesova, Janka" w:date="2017-03-24T21:21:00Z">
              <w:r w:rsidDel="00DE2B09">
                <w:fldChar w:fldCharType="begin"/>
              </w:r>
              <w:r w:rsidDel="00DE2B09">
                <w:delInstrText xml:space="preserve"> HYPERLINK "http://eur-lex.europa.eu/LexUriServ</w:delInstrText>
              </w:r>
              <w:r w:rsidDel="00DE2B09">
                <w:delInstrText xml:space="preserve">/LexUriServ.do?uri=OJ:L:2010:331:0120:0161:SK:pdf"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>Smernica 2010/78/EÚ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 xml:space="preserve"> z, ktorou sa menia a dopĺňajú smernice 98/26/ES, 2002/87/ES.... v súvislosti s právomocami orgánov (EBA, EIOPA, ESMA).</w:delText>
              </w:r>
              <w:r w:rsidDel="00DE2B09">
                <w:fldChar w:fldCharType="begin"/>
              </w:r>
              <w:r w:rsidDel="00DE2B09">
                <w:delInstrText xml:space="preserve"> HYPERLINK "http://eur-lex.europa.eu/LexUriServ/LexUriServ.do?ur</w:delInstrText>
              </w:r>
              <w:r w:rsidDel="00DE2B09">
                <w:delInstrText xml:space="preserve">i=OJ:L:2010:331:0162:0164:SK:pdf"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 xml:space="preserve"> 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</w:del>
          </w:p>
          <w:p w:rsidR="00225875" w:rsidRPr="00955094" w:rsidDel="00DE2B09" w:rsidRDefault="00FD1C3D" w:rsidP="00225875">
            <w:pPr>
              <w:numPr>
                <w:ilvl w:val="0"/>
                <w:numId w:val="3"/>
              </w:numPr>
              <w:tabs>
                <w:tab w:val="clear" w:pos="720"/>
                <w:tab w:val="num" w:pos="1134"/>
              </w:tabs>
              <w:ind w:left="1134" w:hanging="425"/>
              <w:rPr>
                <w:del w:id="15" w:author="Holesova, Janka" w:date="2017-03-24T21:21:00Z"/>
                <w:rFonts w:ascii="Calibri" w:eastAsia="Times New Roman" w:hAnsi="Calibri" w:cs="Times New Roman"/>
                <w:lang w:val="sk-SK"/>
              </w:rPr>
            </w:pPr>
            <w:del w:id="16" w:author="Holesova, Janka" w:date="2017-03-24T21:21:00Z">
              <w:r w:rsidDel="00DE2B09">
                <w:fldChar w:fldCharType="begin"/>
              </w:r>
              <w:r w:rsidDel="00DE2B09">
                <w:delInstrText xml:space="preserve"> HYPERLINK "http://eur-lex.europa.eu/LexUriServ/LexUriServ.do?uri=OJ:L:2010:331:0162:0164:SK:pdf" </w:delInstrText>
              </w:r>
              <w:r w:rsidDel="00DE2B09">
                <w:fldChar w:fldCharType="separate"/>
              </w:r>
              <w:r w:rsidR="00225875" w:rsidRPr="00955094" w:rsidDel="00DE2B09">
                <w:rPr>
                  <w:rStyle w:val="Hyperlink"/>
                  <w:rFonts w:ascii="Calibri" w:eastAsia="Times New Roman" w:hAnsi="Calibri" w:cs="Times New Roman" w:hint="eastAsia"/>
                  <w:color w:val="auto"/>
                  <w:lang w:val="sk-SK"/>
                </w:rPr>
                <w:delText>Nariadenie 1096/2010</w:delText>
              </w:r>
              <w:r w:rsidDel="00DE2B09">
                <w:rPr>
                  <w:rStyle w:val="Hyperlink"/>
                  <w:rFonts w:ascii="Calibri" w:eastAsia="Times New Roman" w:hAnsi="Calibri" w:cs="Times New Roman"/>
                  <w:color w:val="auto"/>
                  <w:lang w:val="sk-SK"/>
                </w:rPr>
                <w:fldChar w:fldCharType="end"/>
              </w:r>
              <w:r w:rsidR="00225875" w:rsidRPr="00955094" w:rsidDel="00DE2B09">
                <w:rPr>
                  <w:rFonts w:ascii="Calibri" w:eastAsia="Times New Roman" w:hAnsi="Calibri" w:cs="Times New Roman" w:hint="eastAsia"/>
                  <w:lang w:val="sk-SK"/>
                </w:rPr>
                <w:delText>, ktorým sa ECB udeľujú úlohy týkajúce sa fungovania ESRB.</w:delText>
              </w:r>
            </w:del>
          </w:p>
          <w:p w:rsidR="00EB72B3" w:rsidRDefault="00EB72B3" w:rsidP="00EB72B3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EB72B3">
              <w:rPr>
                <w:lang w:val="sk-SK"/>
              </w:rPr>
              <w:t>Právne predpisy upravujúce sektor finančných služieb</w:t>
            </w:r>
            <w:r w:rsidR="00005627">
              <w:rPr>
                <w:lang w:val="sk-SK"/>
              </w:rPr>
              <w:t xml:space="preserve"> – základný prehľad nasledujúcich právnych úprav hlavne v spojitosti s poistným odvetvím</w:t>
            </w:r>
          </w:p>
          <w:p w:rsidR="00EB72B3" w:rsidRDefault="00FD1C3D" w:rsidP="00EB72B3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hyperlink r:id="rId11" w:tgtFrame="_blank" w:tooltip=" [nové okno/new window]" w:history="1">
              <w:r w:rsidR="00EB72B3" w:rsidRPr="00225875">
                <w:rPr>
                  <w:rStyle w:val="Hyperlink"/>
                  <w:b/>
                  <w:bCs/>
                  <w:color w:val="auto"/>
                  <w:lang w:val="sk-SK"/>
                </w:rPr>
                <w:t>Zákon č</w:t>
              </w:r>
              <w:r w:rsidR="00B340AB">
                <w:rPr>
                  <w:rStyle w:val="Hyperlink"/>
                  <w:b/>
                  <w:bCs/>
                  <w:color w:val="auto"/>
                  <w:lang w:val="sk-SK"/>
                </w:rPr>
                <w:t>.</w:t>
              </w:r>
              <w:r w:rsidR="00EB72B3" w:rsidRPr="00225875">
                <w:rPr>
                  <w:rStyle w:val="Hyperlink"/>
                  <w:b/>
                  <w:bCs/>
                  <w:color w:val="auto"/>
                  <w:lang w:val="sk-SK"/>
                </w:rPr>
                <w:t xml:space="preserve"> 381/2001 Z. z.</w:t>
              </w:r>
            </w:hyperlink>
            <w:r w:rsidR="00EB72B3" w:rsidRPr="00225875">
              <w:rPr>
                <w:lang w:val="sk-SK"/>
              </w:rPr>
              <w:t xml:space="preserve"> o povinnom zmluvnom poistení zodpovednosti za škodu spôsobenú prevádzkou motorového vozidla</w:t>
            </w:r>
          </w:p>
          <w:p w:rsidR="00B340AB" w:rsidRPr="00225875" w:rsidRDefault="00B340AB" w:rsidP="00EB72B3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B340AB">
              <w:rPr>
                <w:b/>
                <w:u w:val="single"/>
              </w:rPr>
              <w:t xml:space="preserve">Zákon </w:t>
            </w:r>
            <w:r w:rsidRPr="00B340AB">
              <w:rPr>
                <w:b/>
                <w:u w:val="single"/>
                <w:lang w:val="sk-SK"/>
              </w:rPr>
              <w:t xml:space="preserve">č. </w:t>
            </w:r>
            <w:r w:rsidRPr="00B340AB">
              <w:rPr>
                <w:b/>
                <w:u w:val="single"/>
              </w:rPr>
              <w:t>43/2004</w:t>
            </w:r>
            <w:r>
              <w:t xml:space="preserve"> o starobnom dôchodkovom sporení</w:t>
            </w:r>
          </w:p>
          <w:p w:rsidR="0057193B" w:rsidRPr="00005627" w:rsidRDefault="00FD1C3D" w:rsidP="00005627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hyperlink r:id="rId12" w:tgtFrame="_blank" w:tooltip=" [nové okno/new window]" w:history="1">
              <w:r w:rsidR="00EB72B3" w:rsidRPr="00005627">
                <w:rPr>
                  <w:rStyle w:val="Hyperlink"/>
                  <w:b/>
                  <w:bCs/>
                  <w:color w:val="auto"/>
                  <w:lang w:val="sk-SK"/>
                </w:rPr>
                <w:t>Zákon č. 40/1964 Z. z.</w:t>
              </w:r>
            </w:hyperlink>
            <w:r w:rsidR="00EB72B3" w:rsidRPr="00005627">
              <w:rPr>
                <w:lang w:val="sk-SK"/>
              </w:rPr>
              <w:t xml:space="preserve"> Občiansky zákonník</w:t>
            </w:r>
            <w:r w:rsidR="00005627" w:rsidRPr="00005627">
              <w:rPr>
                <w:lang w:val="sk-SK"/>
              </w:rPr>
              <w:t xml:space="preserve"> - </w:t>
            </w:r>
            <w:r w:rsidR="00005627">
              <w:rPr>
                <w:lang w:val="sk-SK"/>
              </w:rPr>
              <w:t>P</w:t>
            </w:r>
            <w:r w:rsidR="00005627" w:rsidRPr="00005627">
              <w:rPr>
                <w:lang w:val="sk-SK"/>
              </w:rPr>
              <w:t xml:space="preserve">ätnásta hlava </w:t>
            </w:r>
            <w:r w:rsidR="00005627">
              <w:rPr>
                <w:lang w:val="sk-SK"/>
              </w:rPr>
              <w:t>- P</w:t>
            </w:r>
            <w:r w:rsidR="00005627" w:rsidRPr="00005627">
              <w:rPr>
                <w:lang w:val="sk-SK"/>
              </w:rPr>
              <w:t>oistné zmluvy</w:t>
            </w:r>
          </w:p>
          <w:p w:rsidR="0057193B" w:rsidRDefault="0057193B" w:rsidP="0057193B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57193B">
              <w:rPr>
                <w:b/>
                <w:u w:val="single"/>
                <w:lang w:val="sk-SK"/>
              </w:rPr>
              <w:t>Zákon č. 513/1991 Z</w:t>
            </w:r>
            <w:r w:rsidRPr="00955094">
              <w:rPr>
                <w:b/>
                <w:lang w:val="sk-SK"/>
              </w:rPr>
              <w:t>.</w:t>
            </w:r>
            <w:r w:rsidR="00955094" w:rsidRPr="00955094">
              <w:rPr>
                <w:b/>
                <w:lang w:val="sk-SK"/>
              </w:rPr>
              <w:t xml:space="preserve"> z.</w:t>
            </w:r>
            <w:r w:rsidRPr="0057193B">
              <w:rPr>
                <w:lang w:val="sk-SK"/>
              </w:rPr>
              <w:t xml:space="preserve"> Obchodný zákonník</w:t>
            </w:r>
          </w:p>
          <w:p w:rsidR="00955094" w:rsidRPr="00955094" w:rsidRDefault="00955094" w:rsidP="00955094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57193B">
              <w:rPr>
                <w:b/>
                <w:u w:val="single"/>
                <w:lang w:val="sk-SK"/>
              </w:rPr>
              <w:t>Zákon č.</w:t>
            </w:r>
            <w:r w:rsidRPr="0057193B">
              <w:rPr>
                <w:u w:val="single"/>
                <w:lang w:val="sk-SK"/>
              </w:rPr>
              <w:t xml:space="preserve"> </w:t>
            </w:r>
            <w:r w:rsidRPr="0057193B">
              <w:rPr>
                <w:b/>
                <w:bCs/>
                <w:u w:val="single"/>
                <w:lang w:val="sk-SK"/>
              </w:rPr>
              <w:t>431/2002 Z. z.</w:t>
            </w:r>
            <w:r w:rsidRPr="0057193B">
              <w:rPr>
                <w:lang w:val="sk-SK"/>
              </w:rPr>
              <w:t xml:space="preserve"> </w:t>
            </w:r>
            <w:r w:rsidRPr="0057193B">
              <w:rPr>
                <w:bCs/>
                <w:lang w:val="sk-SK"/>
              </w:rPr>
              <w:t>o účtovníctve</w:t>
            </w:r>
          </w:p>
          <w:p w:rsidR="00955094" w:rsidRDefault="00955094" w:rsidP="00955094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955094">
              <w:rPr>
                <w:b/>
                <w:u w:val="single"/>
                <w:lang w:val="sk-SK"/>
              </w:rPr>
              <w:t>Zákon č. 186/2009 Z. z.</w:t>
            </w:r>
            <w:r w:rsidRPr="00955094">
              <w:rPr>
                <w:lang w:val="sk-SK"/>
              </w:rPr>
              <w:t xml:space="preserve"> o finančnom sprostredkovaní a finančnom poradenstve  (účinný od 1.1. 2010)</w:t>
            </w:r>
          </w:p>
          <w:p w:rsidR="00955094" w:rsidRPr="00955094" w:rsidRDefault="00955094" w:rsidP="00955094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955094">
              <w:rPr>
                <w:lang w:val="sk-SK"/>
              </w:rPr>
              <w:t xml:space="preserve">Smernica Európskeho parlamentu a Rady č. </w:t>
            </w:r>
            <w:r w:rsidRPr="00955094">
              <w:rPr>
                <w:b/>
                <w:lang w:val="sk-SK"/>
              </w:rPr>
              <w:t>2002/92/ES</w:t>
            </w:r>
            <w:r w:rsidRPr="00955094">
              <w:rPr>
                <w:lang w:val="sk-SK"/>
              </w:rPr>
              <w:t xml:space="preserve"> o sprostredkovaní poistenia</w:t>
            </w:r>
          </w:p>
          <w:p w:rsidR="00955094" w:rsidRPr="00955094" w:rsidRDefault="00955094" w:rsidP="00955094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955094">
              <w:rPr>
                <w:lang w:val="sk-SK"/>
              </w:rPr>
              <w:t xml:space="preserve">Smernica Rady </w:t>
            </w:r>
            <w:r w:rsidRPr="00955094">
              <w:rPr>
                <w:b/>
                <w:bCs/>
                <w:lang w:val="sk-SK"/>
              </w:rPr>
              <w:t>č.</w:t>
            </w:r>
            <w:r w:rsidRPr="00955094">
              <w:rPr>
                <w:lang w:val="sk-SK"/>
              </w:rPr>
              <w:t xml:space="preserve"> </w:t>
            </w:r>
            <w:r w:rsidRPr="00955094">
              <w:rPr>
                <w:b/>
                <w:bCs/>
                <w:lang w:val="sk-SK"/>
              </w:rPr>
              <w:t>91/674/EHS</w:t>
            </w:r>
            <w:r w:rsidRPr="00955094">
              <w:rPr>
                <w:lang w:val="sk-SK"/>
              </w:rPr>
              <w:t xml:space="preserve"> o ročnej účtovnej závierke   a konsolidovanej účtovnej závierke poisťovacích podnikov</w:t>
            </w:r>
          </w:p>
          <w:p w:rsidR="00955094" w:rsidRPr="0057193B" w:rsidRDefault="00955094" w:rsidP="00955094">
            <w:pPr>
              <w:pStyle w:val="ListParagraph"/>
              <w:ind w:left="1080"/>
              <w:rPr>
                <w:lang w:val="sk-SK"/>
              </w:rPr>
            </w:pPr>
          </w:p>
          <w:p w:rsidR="00E66436" w:rsidRPr="00EB72B3" w:rsidRDefault="00E66436" w:rsidP="00955094">
            <w:pPr>
              <w:ind w:left="567"/>
              <w:rPr>
                <w:lang w:val="sk-SK"/>
              </w:rPr>
            </w:pPr>
          </w:p>
        </w:tc>
      </w:tr>
      <w:tr w:rsidR="00F178FE" w:rsidRPr="00444274" w:rsidTr="00F178FE">
        <w:tc>
          <w:tcPr>
            <w:tcW w:w="9576" w:type="dxa"/>
          </w:tcPr>
          <w:p w:rsidR="00F178FE" w:rsidRDefault="00E6643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Odporúčaná literatúra:</w:t>
            </w:r>
          </w:p>
          <w:p w:rsidR="00225875" w:rsidRPr="00662CE4" w:rsidRDefault="00225875" w:rsidP="00011EDB">
            <w:pPr>
              <w:rPr>
                <w:i/>
                <w:color w:val="00B050"/>
                <w:lang w:val="sk-SK"/>
              </w:rPr>
            </w:pPr>
          </w:p>
        </w:tc>
      </w:tr>
      <w:tr w:rsidR="00F178FE" w:rsidRPr="00444274" w:rsidTr="00F178FE">
        <w:tc>
          <w:tcPr>
            <w:tcW w:w="9576" w:type="dxa"/>
          </w:tcPr>
          <w:p w:rsidR="00F178FE" w:rsidRPr="00E66436" w:rsidRDefault="00E66436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225875" w:rsidRPr="00E66436" w:rsidRDefault="00225875" w:rsidP="00011EDB">
            <w:pPr>
              <w:rPr>
                <w:i/>
                <w:lang w:val="sk-SK"/>
              </w:rPr>
            </w:pPr>
          </w:p>
        </w:tc>
      </w:tr>
    </w:tbl>
    <w:p w:rsidR="00CD3E2A" w:rsidRPr="00AA31CA" w:rsidRDefault="00FD1C3D">
      <w:pPr>
        <w:rPr>
          <w:lang w:val="sk-SK"/>
        </w:rPr>
      </w:pPr>
    </w:p>
    <w:sectPr w:rsidR="00CD3E2A" w:rsidRPr="00AA31CA" w:rsidSect="00CC3EBC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C3D" w:rsidRDefault="00FD1C3D" w:rsidP="00F178FE">
      <w:pPr>
        <w:spacing w:after="0" w:line="240" w:lineRule="auto"/>
      </w:pPr>
      <w:r>
        <w:separator/>
      </w:r>
    </w:p>
  </w:endnote>
  <w:endnote w:type="continuationSeparator" w:id="0">
    <w:p w:rsidR="00FD1C3D" w:rsidRDefault="00FD1C3D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FE" w:rsidRPr="00F178FE" w:rsidRDefault="006753CF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7B60A8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7B60A8">
      <w:rPr>
        <w:lang w:val="sk-SK"/>
      </w:rPr>
      <w:fldChar w:fldCharType="separate"/>
    </w:r>
    <w:r w:rsidR="00DE2B09">
      <w:rPr>
        <w:noProof/>
        <w:lang w:val="sk-SK"/>
      </w:rPr>
      <w:t>1</w:t>
    </w:r>
    <w:r w:rsidR="007B60A8">
      <w:rPr>
        <w:lang w:val="sk-SK"/>
      </w:rPr>
      <w:fldChar w:fldCharType="end"/>
    </w:r>
    <w:r w:rsidR="00F178FE">
      <w:rPr>
        <w:lang w:val="sk-SK"/>
      </w:rPr>
      <w:t>/</w:t>
    </w:r>
    <w:r w:rsidR="00FD1C3D">
      <w:fldChar w:fldCharType="begin"/>
    </w:r>
    <w:r w:rsidR="00FD1C3D">
      <w:instrText xml:space="preserve"> SECTIONPAGES  \* Arabic  \* MERGEFORMAT </w:instrText>
    </w:r>
    <w:r w:rsidR="00FD1C3D">
      <w:fldChar w:fldCharType="separate"/>
    </w:r>
    <w:r w:rsidR="00DE2B09" w:rsidRPr="00DE2B09">
      <w:rPr>
        <w:noProof/>
        <w:lang w:val="sk-SK"/>
      </w:rPr>
      <w:t>1</w:t>
    </w:r>
    <w:r w:rsidR="00FD1C3D">
      <w:rPr>
        <w:noProof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C3D" w:rsidRDefault="00FD1C3D" w:rsidP="00F178FE">
      <w:pPr>
        <w:spacing w:after="0" w:line="240" w:lineRule="auto"/>
      </w:pPr>
      <w:r>
        <w:separator/>
      </w:r>
    </w:p>
  </w:footnote>
  <w:footnote w:type="continuationSeparator" w:id="0">
    <w:p w:rsidR="00FD1C3D" w:rsidRDefault="00FD1C3D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E2B0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-942975</wp:posOffset>
              </wp:positionH>
              <wp:positionV relativeFrom="paragraph">
                <wp:posOffset>-306705</wp:posOffset>
              </wp:positionV>
              <wp:extent cx="7800975" cy="561975"/>
              <wp:effectExtent l="0" t="0" r="28575" b="4762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00975" cy="5619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>
                        <a:outerShdw dist="28398" dir="3806097" algn="ctr" rotWithShape="0">
                          <a:schemeClr val="accent1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78FE" w:rsidRPr="00F178FE" w:rsidRDefault="00F178FE">
                          <w:pPr>
                            <w:rPr>
                              <w:color w:val="FFFFFF" w:themeColor="background1"/>
                              <w:lang w:val="sk-SK"/>
                            </w:rPr>
                          </w:pPr>
                          <w:r w:rsidRPr="00F178FE">
                            <w:rPr>
                              <w:color w:val="FFFFFF" w:themeColor="background1"/>
                              <w:lang w:val="sk-SK"/>
                            </w:rPr>
                            <w:t>Slovenská spoločnosť aktuárov</w:t>
                          </w:r>
                        </w:p>
                        <w:p w:rsidR="00F178FE" w:rsidRPr="00F178FE" w:rsidRDefault="00F178FE">
                          <w:pPr>
                            <w:rPr>
                              <w:b/>
                              <w:color w:val="FFFFFF" w:themeColor="background1"/>
                              <w:lang w:val="sk-SK"/>
                            </w:rPr>
                          </w:pPr>
                          <w:r w:rsidRPr="00F178FE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Predmet A</w:t>
                          </w:r>
                          <w:r w:rsidR="00EB72B3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6</w:t>
                          </w:r>
                          <w:r w:rsidRPr="00F178FE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 xml:space="preserve"> – </w:t>
                          </w:r>
                          <w:r w:rsidR="00EB72B3" w:rsidRPr="00EB72B3">
                            <w:rPr>
                              <w:b/>
                              <w:color w:val="FFFFFF" w:themeColor="background1"/>
                              <w:lang w:val="sk-SK"/>
                            </w:rPr>
                            <w:t>Legislatíva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74.25pt;margin-top:-24.15pt;width:614.25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    <v:shadow on="t" color="#243f60 [1604]" opacity=".5" offset="1pt"/>
              <v:textbox>
                <w:txbxContent>
                  <w:p w:rsidR="00F178FE" w:rsidRPr="00F178FE" w:rsidRDefault="00F178FE">
                    <w:pPr>
                      <w:rPr>
                        <w:color w:val="FFFFFF" w:themeColor="background1"/>
                        <w:lang w:val="sk-SK"/>
                      </w:rPr>
                    </w:pPr>
                    <w:r w:rsidRPr="00F178FE">
                      <w:rPr>
                        <w:color w:val="FFFFFF" w:themeColor="background1"/>
                        <w:lang w:val="sk-SK"/>
                      </w:rPr>
                      <w:t>Slovenská spoločnosť aktuárov</w:t>
                    </w:r>
                  </w:p>
                  <w:p w:rsidR="00F178FE" w:rsidRPr="00F178FE" w:rsidRDefault="00F178FE">
                    <w:pPr>
                      <w:rPr>
                        <w:b/>
                        <w:color w:val="FFFFFF" w:themeColor="background1"/>
                        <w:lang w:val="sk-SK"/>
                      </w:rPr>
                    </w:pPr>
                    <w:r w:rsidRPr="00F178FE">
                      <w:rPr>
                        <w:b/>
                        <w:color w:val="FFFFFF" w:themeColor="background1"/>
                        <w:lang w:val="sk-SK"/>
                      </w:rPr>
                      <w:t>Predmet A</w:t>
                    </w:r>
                    <w:r w:rsidR="00EB72B3">
                      <w:rPr>
                        <w:b/>
                        <w:color w:val="FFFFFF" w:themeColor="background1"/>
                        <w:lang w:val="sk-SK"/>
                      </w:rPr>
                      <w:t>6</w:t>
                    </w:r>
                    <w:r w:rsidRPr="00F178FE">
                      <w:rPr>
                        <w:b/>
                        <w:color w:val="FFFFFF" w:themeColor="background1"/>
                        <w:lang w:val="sk-SK"/>
                      </w:rPr>
                      <w:t xml:space="preserve"> – </w:t>
                    </w:r>
                    <w:r w:rsidR="00EB72B3" w:rsidRPr="00EB72B3">
                      <w:rPr>
                        <w:b/>
                        <w:color w:val="FFFFFF" w:themeColor="background1"/>
                        <w:lang w:val="sk-SK"/>
                      </w:rPr>
                      <w:t>Legislatíva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16267"/>
    <w:multiLevelType w:val="multilevel"/>
    <w:tmpl w:val="08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796F6B"/>
    <w:multiLevelType w:val="hybridMultilevel"/>
    <w:tmpl w:val="7074AEDC"/>
    <w:lvl w:ilvl="0" w:tplc="DFEA8D6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E29E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DE21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54781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C8A8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0ACB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C24D8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30C0B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00B2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8FE"/>
    <w:rsid w:val="00005627"/>
    <w:rsid w:val="00011EDB"/>
    <w:rsid w:val="000217CE"/>
    <w:rsid w:val="000E6D84"/>
    <w:rsid w:val="00153C6C"/>
    <w:rsid w:val="00225875"/>
    <w:rsid w:val="00251CCA"/>
    <w:rsid w:val="00251F62"/>
    <w:rsid w:val="002B38A9"/>
    <w:rsid w:val="003330E1"/>
    <w:rsid w:val="00336CAE"/>
    <w:rsid w:val="00393398"/>
    <w:rsid w:val="00410088"/>
    <w:rsid w:val="00444274"/>
    <w:rsid w:val="0049373D"/>
    <w:rsid w:val="004B700E"/>
    <w:rsid w:val="00514F3A"/>
    <w:rsid w:val="0057193B"/>
    <w:rsid w:val="005B32BF"/>
    <w:rsid w:val="005B7402"/>
    <w:rsid w:val="005E6A8D"/>
    <w:rsid w:val="0061089B"/>
    <w:rsid w:val="006154E9"/>
    <w:rsid w:val="006267E0"/>
    <w:rsid w:val="00646AC4"/>
    <w:rsid w:val="00651DBA"/>
    <w:rsid w:val="006520FF"/>
    <w:rsid w:val="00662CE4"/>
    <w:rsid w:val="00666D75"/>
    <w:rsid w:val="006753CF"/>
    <w:rsid w:val="0068445B"/>
    <w:rsid w:val="007459A5"/>
    <w:rsid w:val="007B60A8"/>
    <w:rsid w:val="007D35ED"/>
    <w:rsid w:val="00833E1D"/>
    <w:rsid w:val="008E21A5"/>
    <w:rsid w:val="009105B1"/>
    <w:rsid w:val="00930D3E"/>
    <w:rsid w:val="00955094"/>
    <w:rsid w:val="009B3444"/>
    <w:rsid w:val="009B3E41"/>
    <w:rsid w:val="00A118DE"/>
    <w:rsid w:val="00A12C32"/>
    <w:rsid w:val="00A25C68"/>
    <w:rsid w:val="00AA31CA"/>
    <w:rsid w:val="00AD00E1"/>
    <w:rsid w:val="00AF055C"/>
    <w:rsid w:val="00B24A1E"/>
    <w:rsid w:val="00B340AB"/>
    <w:rsid w:val="00B71F96"/>
    <w:rsid w:val="00B766AF"/>
    <w:rsid w:val="00C81401"/>
    <w:rsid w:val="00C94C4C"/>
    <w:rsid w:val="00C95F01"/>
    <w:rsid w:val="00C96D0C"/>
    <w:rsid w:val="00CA2451"/>
    <w:rsid w:val="00CB71E2"/>
    <w:rsid w:val="00CC3EBC"/>
    <w:rsid w:val="00D45879"/>
    <w:rsid w:val="00D53828"/>
    <w:rsid w:val="00D93133"/>
    <w:rsid w:val="00DA51B2"/>
    <w:rsid w:val="00DC50E0"/>
    <w:rsid w:val="00DD3B20"/>
    <w:rsid w:val="00DE2B09"/>
    <w:rsid w:val="00E148CA"/>
    <w:rsid w:val="00E31598"/>
    <w:rsid w:val="00E66436"/>
    <w:rsid w:val="00EB72B3"/>
    <w:rsid w:val="00ED36F7"/>
    <w:rsid w:val="00F11FB9"/>
    <w:rsid w:val="00F178FE"/>
    <w:rsid w:val="00F87718"/>
    <w:rsid w:val="00F96BEE"/>
    <w:rsid w:val="00FA0BD1"/>
    <w:rsid w:val="00FD0E08"/>
    <w:rsid w:val="00FD1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lavika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Pta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1CA"/>
    <w:rPr>
      <w:color w:val="800080" w:themeColor="followedHyperlink"/>
      <w:u w:val="single"/>
    </w:rPr>
  </w:style>
  <w:style w:type="paragraph" w:customStyle="1" w:styleId="Default">
    <w:name w:val="Default"/>
    <w:rsid w:val="00EB7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B72B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442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2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2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2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2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lavika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Pta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1CA"/>
    <w:rPr>
      <w:color w:val="800080" w:themeColor="followedHyperlink"/>
      <w:u w:val="single"/>
    </w:rPr>
  </w:style>
  <w:style w:type="paragraph" w:customStyle="1" w:styleId="Default">
    <w:name w:val="Default"/>
    <w:rsid w:val="00EB72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B72B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442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42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42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42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42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48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6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7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02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763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bs.sk/_img/Documents/_Legislativa/_UplneZneniaZakonov/Z0082008.PDF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nbs.sk/_img/Documents/_Dohlad/ORM/Poistovnictvo/Rek_zakony_40_1964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bs.sk/_img/Documents/_Legislativa/_UplneZneniaZakonov/Z381200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LexUriServ/LexUriServ.do?uri=OJ:L:2009:335:0001:0155:SK: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bs.sk/_img/Documents/_Legislativa/_UplneZneniaZakonov/Z7472004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3629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Zurich Insurance Company Ltd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Holesova, Janka</cp:lastModifiedBy>
  <cp:revision>2</cp:revision>
  <dcterms:created xsi:type="dcterms:W3CDTF">2017-03-24T20:22:00Z</dcterms:created>
  <dcterms:modified xsi:type="dcterms:W3CDTF">2017-03-24T20:22:00Z</dcterms:modified>
</cp:coreProperties>
</file>