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1D4A95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Pr="00A947B7" w:rsidRDefault="00D02320" w:rsidP="001D4A95">
            <w:pPr>
              <w:rPr>
                <w:lang w:val="sk-SK"/>
              </w:rPr>
            </w:pPr>
            <w:r w:rsidRPr="001D4A95">
              <w:rPr>
                <w:lang w:val="sk-SK"/>
              </w:rPr>
              <w:t xml:space="preserve">Poskytnúť základy finančnej matematiky a </w:t>
            </w:r>
            <w:r w:rsidR="001D4A95" w:rsidRPr="001D4A95">
              <w:rPr>
                <w:lang w:val="sk-SK"/>
              </w:rPr>
              <w:t>jej</w:t>
            </w:r>
            <w:r w:rsidRPr="001D4A95">
              <w:rPr>
                <w:lang w:val="sk-SK"/>
              </w:rPr>
              <w:t xml:space="preserve"> aplikácií v aktuárskej vede.</w:t>
            </w:r>
          </w:p>
        </w:tc>
      </w:tr>
      <w:tr w:rsidR="00F178FE" w:rsidRPr="001D4A95" w:rsidTr="00F178FE">
        <w:tc>
          <w:tcPr>
            <w:tcW w:w="9576" w:type="dxa"/>
          </w:tcPr>
          <w:p w:rsidR="00E66436" w:rsidRPr="00E66436" w:rsidRDefault="00E66436" w:rsidP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D02320" w:rsidRDefault="00D02320" w:rsidP="00D02320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D02320">
              <w:rPr>
                <w:lang w:val="sk-SK"/>
              </w:rPr>
              <w:t>Deterministická teória úrokovej miery a cash flow modelovanie</w:t>
            </w:r>
          </w:p>
          <w:p w:rsidR="00773227" w:rsidRDefault="00773227" w:rsidP="00773227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 použitie modelu peňažných tokov pre finančné transakcie</w:t>
            </w:r>
          </w:p>
          <w:p w:rsidR="00773227" w:rsidRDefault="00773227" w:rsidP="00773227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Pre rôzne typy peňažných tokov popísať príjmy a výdavky v každom časovom momente a analyzovať, či tieto toky sú isté alebo neurčité z časového a objemového hľadiska</w:t>
            </w:r>
          </w:p>
          <w:p w:rsidR="00773227" w:rsidRDefault="00773227" w:rsidP="00773227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 formou modelu peňažných tokov dlhopis</w:t>
            </w:r>
            <w:r w:rsidR="00D51027">
              <w:rPr>
                <w:lang w:val="sk-SK"/>
              </w:rPr>
              <w:t xml:space="preserve"> s nulovým kupónom</w:t>
            </w:r>
            <w:r>
              <w:rPr>
                <w:lang w:val="sk-SK"/>
              </w:rPr>
              <w:t>, cenný papier s fixnou úrokovou mierou, indexovaný cenný papier, peňažné prostriedky na účte</w:t>
            </w:r>
            <w:r w:rsidR="004650F8">
              <w:rPr>
                <w:lang w:val="sk-SK"/>
              </w:rPr>
              <w:t xml:space="preserve">, </w:t>
            </w:r>
            <w:r w:rsidR="00230B5F" w:rsidRPr="00FD1F7E">
              <w:rPr>
                <w:lang w:val="sk-SK"/>
              </w:rPr>
              <w:t>amortizácia dlhu</w:t>
            </w:r>
            <w:r w:rsidR="004650F8">
              <w:rPr>
                <w:lang w:val="sk-SK"/>
              </w:rPr>
              <w:t xml:space="preserve"> a istý dôchodok</w:t>
            </w:r>
          </w:p>
          <w:p w:rsidR="004650F8" w:rsidRDefault="004650F8" w:rsidP="004650F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 hodnotu peňažného toku v čase použitím zloženého úrokovania a odúročenia</w:t>
            </w:r>
          </w:p>
          <w:p w:rsidR="004650F8" w:rsidRDefault="004650F8" w:rsidP="004650F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Vyjadriť budúcu hodnotu investície použitím jednoduchého a zloženého úročenia</w:t>
            </w:r>
          </w:p>
          <w:p w:rsidR="004650F8" w:rsidRDefault="004650F8" w:rsidP="004650F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Zadefinovať súčasnú hodnotu budúceho peňažného toku. </w:t>
            </w:r>
          </w:p>
          <w:p w:rsidR="00D1048A" w:rsidRDefault="004650F8" w:rsidP="004650F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Ukázať ako úrokové a diskontné miery </w:t>
            </w:r>
            <w:r w:rsidR="00D1048A">
              <w:rPr>
                <w:lang w:val="sk-SK"/>
              </w:rPr>
              <w:t xml:space="preserve">môžu byť vyjadrené pomocou rôznych časových </w:t>
            </w:r>
            <w:r w:rsidR="00230B5F" w:rsidRPr="00FD1F7E">
              <w:rPr>
                <w:lang w:val="sk-SK"/>
              </w:rPr>
              <w:t>jednotiek</w:t>
            </w:r>
          </w:p>
          <w:p w:rsidR="00D1048A" w:rsidRDefault="00D1048A" w:rsidP="00D1048A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vzťah medzi úrokovou a diskontnou mierou </w:t>
            </w:r>
            <w:r w:rsidR="00230B5F" w:rsidRPr="00FD1F7E">
              <w:rPr>
                <w:lang w:val="sk-SK"/>
              </w:rPr>
              <w:t>pri danej časovej jednotke</w:t>
            </w:r>
          </w:p>
          <w:p w:rsidR="004650F8" w:rsidRDefault="00D1048A" w:rsidP="00D1048A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vzťah medzi úrokovou mierou platnou </w:t>
            </w:r>
            <w:r w:rsidR="00230B5F" w:rsidRPr="00FD1F7E">
              <w:rPr>
                <w:lang w:val="sk-SK"/>
              </w:rPr>
              <w:t>pri danej časovej jednotke</w:t>
            </w:r>
            <w:r>
              <w:rPr>
                <w:lang w:val="sk-SK"/>
              </w:rPr>
              <w:t xml:space="preserve"> a </w:t>
            </w:r>
            <w:r w:rsidR="00230B5F" w:rsidRPr="00FD1F7E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úrokovou mierou vyplácanou </w:t>
            </w:r>
            <w:r>
              <w:rPr>
                <w:i/>
                <w:lang w:val="sk-SK"/>
              </w:rPr>
              <w:t>p</w:t>
            </w:r>
            <w:r w:rsidR="00230B5F" w:rsidRPr="00FD1F7E">
              <w:rPr>
                <w:lang w:val="sk-SK"/>
              </w:rPr>
              <w:t>-</w:t>
            </w:r>
            <w:r>
              <w:rPr>
                <w:lang w:val="sk-SK"/>
              </w:rPr>
              <w:t xml:space="preserve">krát </w:t>
            </w:r>
            <w:r w:rsidR="00230B5F" w:rsidRPr="00FD1F7E">
              <w:rPr>
                <w:lang w:val="sk-SK"/>
              </w:rPr>
              <w:t>pri danej časovej jednotke</w:t>
            </w:r>
            <w:r>
              <w:rPr>
                <w:lang w:val="sk-SK"/>
              </w:rPr>
              <w:t xml:space="preserve"> a </w:t>
            </w:r>
            <w:r w:rsidR="00230B5F" w:rsidRPr="00FD1F7E">
              <w:rPr>
                <w:lang w:val="sk-SK"/>
              </w:rPr>
              <w:t>odvodiť</w:t>
            </w:r>
            <w:r>
              <w:rPr>
                <w:lang w:val="sk-SK"/>
              </w:rPr>
              <w:t xml:space="preserve"> </w:t>
            </w:r>
            <w:r w:rsidRPr="00FD1F7E">
              <w:rPr>
                <w:lang w:val="sk-SK"/>
              </w:rPr>
              <w:t>intenzitu úro</w:t>
            </w:r>
            <w:r w:rsidR="00DD6629" w:rsidRPr="00FD1F7E">
              <w:rPr>
                <w:lang w:val="sk-SK"/>
              </w:rPr>
              <w:t>kova</w:t>
            </w:r>
            <w:r w:rsidRPr="00FD1F7E">
              <w:rPr>
                <w:lang w:val="sk-SK"/>
              </w:rPr>
              <w:t>nia</w:t>
            </w:r>
          </w:p>
          <w:p w:rsidR="00D1048A" w:rsidRDefault="00D1048A" w:rsidP="00D1048A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rozdiel medzi </w:t>
            </w:r>
            <w:r w:rsidR="00230B5F" w:rsidRPr="00FD1F7E">
              <w:rPr>
                <w:lang w:val="sk-SK"/>
              </w:rPr>
              <w:t>reálnou</w:t>
            </w:r>
            <w:r>
              <w:rPr>
                <w:lang w:val="sk-SK"/>
              </w:rPr>
              <w:t xml:space="preserve"> a efektívnou úrokovou mierou a vyjadriť efektívnu úrokovú mieru prostredníctvom nominálnej</w:t>
            </w:r>
            <w:r w:rsidR="00FC7EA1" w:rsidRPr="00FD1F7E">
              <w:rPr>
                <w:lang w:val="sk-SK"/>
              </w:rPr>
              <w:t xml:space="preserve"> (peňažnej) úrokovej miery</w:t>
            </w:r>
          </w:p>
          <w:p w:rsidR="00D1048A" w:rsidRDefault="00D1048A" w:rsidP="00D1048A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Vypočítať ročnú úrokovú mieru zodpovedajúcu intenzite úro</w:t>
            </w:r>
            <w:r w:rsidR="00DD6629">
              <w:rPr>
                <w:lang w:val="sk-SK"/>
              </w:rPr>
              <w:t>kova</w:t>
            </w:r>
            <w:r>
              <w:rPr>
                <w:lang w:val="sk-SK"/>
              </w:rPr>
              <w:t>nia</w:t>
            </w:r>
            <w:r w:rsidR="00D5475A">
              <w:rPr>
                <w:lang w:val="sk-SK"/>
              </w:rPr>
              <w:t>, ktorá je definovaná ako funkcia času</w:t>
            </w:r>
          </w:p>
          <w:p w:rsidR="00D5475A" w:rsidRPr="0004305C" w:rsidRDefault="00D5475A" w:rsidP="00D5475A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rozdiely medzi </w:t>
            </w:r>
            <w:r w:rsidR="00FC7EA1" w:rsidRPr="00FD1F7E">
              <w:rPr>
                <w:lang w:val="sk-SK"/>
              </w:rPr>
              <w:t>reálnou</w:t>
            </w:r>
            <w:r w:rsidRPr="00FD1F7E">
              <w:rPr>
                <w:lang w:val="sk-SK"/>
              </w:rPr>
              <w:t xml:space="preserve"> a </w:t>
            </w:r>
            <w:r w:rsidR="00FC7EA1" w:rsidRPr="00FD1F7E">
              <w:rPr>
                <w:lang w:val="sk-SK"/>
              </w:rPr>
              <w:t>nominálnou (</w:t>
            </w:r>
            <w:r w:rsidRPr="00FD1F7E">
              <w:rPr>
                <w:lang w:val="sk-SK"/>
              </w:rPr>
              <w:t>peňažnou</w:t>
            </w:r>
            <w:r w:rsidR="00FC7EA1" w:rsidRPr="00FD1F7E">
              <w:rPr>
                <w:lang w:val="sk-SK"/>
              </w:rPr>
              <w:t>)</w:t>
            </w:r>
            <w:r w:rsidRPr="00FD1F7E">
              <w:rPr>
                <w:lang w:val="sk-SK"/>
              </w:rPr>
              <w:t xml:space="preserve"> úrokovou mierou</w:t>
            </w:r>
            <w:r>
              <w:rPr>
                <w:lang w:val="sk-SK"/>
              </w:rPr>
              <w:t xml:space="preserve"> </w:t>
            </w:r>
          </w:p>
          <w:p w:rsidR="0004305C" w:rsidRDefault="0004305C" w:rsidP="00D5475A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04305C">
              <w:rPr>
                <w:lang w:val="sk-SK"/>
              </w:rPr>
              <w:t>Vypočítať</w:t>
            </w:r>
            <w:r>
              <w:rPr>
                <w:lang w:val="sk-SK"/>
              </w:rPr>
              <w:t xml:space="preserve"> súčasnú a budúcu hodnotu </w:t>
            </w:r>
            <w:r w:rsidR="00DD6629">
              <w:rPr>
                <w:lang w:val="sk-SK"/>
              </w:rPr>
              <w:t>dôchodku</w:t>
            </w:r>
            <w:r>
              <w:rPr>
                <w:lang w:val="sk-SK"/>
              </w:rPr>
              <w:t xml:space="preserve"> s konštantnou a variabilnou splátkou použitím  rôznych úrokových mier  </w:t>
            </w:r>
          </w:p>
          <w:p w:rsidR="00D51027" w:rsidRDefault="00D51027" w:rsidP="00D5475A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Zadefinovať  funkcie zloženého úrokovania</w:t>
            </w:r>
          </w:p>
          <w:p w:rsidR="00D51027" w:rsidRPr="00D51027" w:rsidRDefault="00D51027" w:rsidP="00D51027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8.75pt" o:ole="">
                  <v:imagedata r:id="rId10" o:title=""/>
                </v:shape>
                <o:OLEObject Type="Embed" ProgID="Equation.3" ShapeID="_x0000_i1025" DrawAspect="Content" ObjectID="_1487441042" r:id="rId11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00" w:dyaOrig="380">
                <v:shape id="_x0000_i1026" type="#_x0000_t75" style="width:15pt;height:18.75pt" o:ole="">
                  <v:imagedata r:id="rId12" o:title=""/>
                </v:shape>
                <o:OLEObject Type="Embed" ProgID="Equation.3" ShapeID="_x0000_i1026" DrawAspect="Content" ObjectID="_1487441043" r:id="rId13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40" w:dyaOrig="420">
                <v:shape id="_x0000_i1027" type="#_x0000_t75" style="width:27pt;height:21pt" o:ole="">
                  <v:imagedata r:id="rId14" o:title=""/>
                </v:shape>
                <o:OLEObject Type="Embed" ProgID="Equation.3" ShapeID="_x0000_i1027" DrawAspect="Content" ObjectID="_1487441044" r:id="rId15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20" w:dyaOrig="420">
                <v:shape id="_x0000_i1028" type="#_x0000_t75" style="width:26.25pt;height:21pt" o:ole="">
                  <v:imagedata r:id="rId16" o:title=""/>
                </v:shape>
                <o:OLEObject Type="Embed" ProgID="Equation.3" ShapeID="_x0000_i1028" DrawAspect="Content" ObjectID="_1487441045" r:id="rId17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20" w:dyaOrig="380">
                <v:shape id="_x0000_i1029" type="#_x0000_t75" style="width:16.5pt;height:18.75pt" o:ole="">
                  <v:imagedata r:id="rId18" o:title=""/>
                </v:shape>
                <o:OLEObject Type="Embed" ProgID="Equation.3" ShapeID="_x0000_i1029" DrawAspect="Content" ObjectID="_1487441046" r:id="rId19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00" w:dyaOrig="380">
                <v:shape id="_x0000_i1030" type="#_x0000_t75" style="width:15pt;height:18.75pt" o:ole="">
                  <v:imagedata r:id="rId20" o:title=""/>
                </v:shape>
                <o:OLEObject Type="Embed" ProgID="Equation.3" ShapeID="_x0000_i1030" DrawAspect="Content" ObjectID="_1487441047" r:id="rId21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40" w:dyaOrig="420">
                <v:shape id="_x0000_i1031" type="#_x0000_t75" style="width:27pt;height:21pt" o:ole="">
                  <v:imagedata r:id="rId22" o:title=""/>
                </v:shape>
                <o:OLEObject Type="Embed" ProgID="Equation.3" ShapeID="_x0000_i1031" DrawAspect="Content" ObjectID="_1487441048" r:id="rId23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20" w:dyaOrig="420">
                <v:shape id="_x0000_i1032" type="#_x0000_t75" style="width:26.25pt;height:21pt" o:ole="">
                  <v:imagedata r:id="rId24" o:title=""/>
                </v:shape>
                <o:OLEObject Type="Embed" ProgID="Equation.3" ShapeID="_x0000_i1032" DrawAspect="Content" ObjectID="_1487441049" r:id="rId25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20" w:dyaOrig="380">
                <v:shape id="_x0000_i1033" type="#_x0000_t75" style="width:16.5pt;height:18.75pt" o:ole="">
                  <v:imagedata r:id="rId26" o:title=""/>
                </v:shape>
                <o:OLEObject Type="Embed" ProgID="Equation.3" ShapeID="_x0000_i1033" DrawAspect="Content" ObjectID="_1487441050" r:id="rId27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a </w:t>
            </w:r>
            <w:r w:rsidR="00FB338B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00" w:dyaOrig="380">
                <v:shape id="_x0000_i1034" type="#_x0000_t75" style="width:15pt;height:18.75pt" o:ole="">
                  <v:imagedata r:id="rId28" o:title=""/>
                </v:shape>
                <o:OLEObject Type="Embed" ProgID="Equation.3" ShapeID="_x0000_i1034" DrawAspect="Content" ObjectID="_1487441051" r:id="rId29"/>
              </w:objec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>
              <w:rPr>
                <w:lang w:val="sk-SK"/>
              </w:rPr>
              <w:t xml:space="preserve">použitím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i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v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n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 xml:space="preserve">d, </w:t>
            </w:r>
            <w:r w:rsidRPr="009176A7">
              <w:rPr>
                <w:rFonts w:ascii="SymbolMT" w:hAnsi="SymbolMT" w:cs="SymbolMT"/>
              </w:rPr>
              <w:t>δ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i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</w:t>
            </w:r>
            <w:r w:rsidRPr="001D4A9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lang w:val="sk-SK"/>
              </w:rPr>
              <w:t xml:space="preserve">a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d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</w:t>
            </w:r>
            <w:r w:rsidRPr="001D4A9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</w:t>
            </w:r>
            <w:r w:rsidR="00FB338B"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).</w:t>
            </w:r>
          </w:p>
          <w:p w:rsidR="00FB338B" w:rsidRPr="00FB338B" w:rsidRDefault="00FB338B" w:rsidP="00FB338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480" w:dyaOrig="380">
                <v:shape id="_x0000_i1035" type="#_x0000_t75" style="width:24pt;height:18.75pt" o:ole="">
                  <v:imagedata r:id="rId30" o:title=""/>
                </v:shape>
                <o:OLEObject Type="Embed" ProgID="Equation.3" ShapeID="_x0000_i1035" DrawAspect="Content" ObjectID="_1487441052" r:id="rId31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680" w:dyaOrig="420">
                <v:shape id="_x0000_i1036" type="#_x0000_t75" style="width:33.75pt;height:21pt" o:ole="">
                  <v:imagedata r:id="rId32" o:title=""/>
                </v:shape>
                <o:OLEObject Type="Embed" ProgID="Equation.3" ShapeID="_x0000_i1036" DrawAspect="Content" ObjectID="_1487441053" r:id="rId33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,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460" w:dyaOrig="380">
                <v:shape id="_x0000_i1037" type="#_x0000_t75" style="width:23.25pt;height:18.75pt" o:ole="">
                  <v:imagedata r:id="rId34" o:title=""/>
                </v:shape>
                <o:OLEObject Type="Embed" ProgID="Equation.3" ShapeID="_x0000_i1037" DrawAspect="Content" ObjectID="_1487441054" r:id="rId35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,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680" w:dyaOrig="420">
                <v:shape id="_x0000_i1038" type="#_x0000_t75" style="width:33.75pt;height:21pt" o:ole="">
                  <v:imagedata r:id="rId36" o:title=""/>
                </v:shape>
                <o:OLEObject Type="Embed" ProgID="Equation.3" ShapeID="_x0000_i1038" DrawAspect="Content" ObjectID="_1487441055" r:id="rId37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a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460" w:dyaOrig="380">
                <v:shape id="_x0000_i1039" type="#_x0000_t75" style="width:23.25pt;height:18.75pt" o:ole="">
                  <v:imagedata r:id="rId38" o:title=""/>
                </v:shape>
                <o:OLEObject Type="Embed" ProgID="Equation.3" ShapeID="_x0000_i1039" DrawAspect="Content" ObjectID="_1487441056" r:id="rId39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</w:t>
            </w:r>
            <w:r>
              <w:rPr>
                <w:lang w:val="sk-SK"/>
              </w:rPr>
              <w:t xml:space="preserve">použitím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i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v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n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 xml:space="preserve">d, </w:t>
            </w:r>
            <w:r w:rsidRPr="009176A7">
              <w:rPr>
                <w:rFonts w:ascii="SymbolMT" w:hAnsi="SymbolMT" w:cs="SymbolMT"/>
              </w:rPr>
              <w:t>δ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i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</w:t>
            </w:r>
            <w:r w:rsidRPr="001D4A9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</w:t>
            </w:r>
            <w:r w:rsidRPr="001D4A95">
              <w:rPr>
                <w:rFonts w:ascii="Times New Roman" w:hAnsi="Times New Roman" w:cs="Times New Roman"/>
                <w:lang w:val="it-IT"/>
              </w:rPr>
              <w:t xml:space="preserve"> </w:t>
            </w:r>
            <w:r>
              <w:rPr>
                <w:lang w:val="sk-SK"/>
              </w:rPr>
              <w:t xml:space="preserve">a </w:t>
            </w:r>
            <w:r w:rsidRPr="001D4A95">
              <w:rPr>
                <w:rFonts w:ascii="Times New Roman" w:hAnsi="Times New Roman" w:cs="Times New Roman"/>
                <w:i/>
                <w:iCs/>
                <w:lang w:val="it-IT"/>
              </w:rPr>
              <w:t>d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(</w:t>
            </w:r>
            <w:r w:rsidRPr="001D4A95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</w: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).</w:t>
            </w:r>
          </w:p>
          <w:p w:rsidR="00FB338B" w:rsidRPr="00692C86" w:rsidRDefault="00FB338B" w:rsidP="00692C8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</w:t>
            </w:r>
            <w:r w:rsidR="00692C86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80" w:dyaOrig="380">
                <v:shape id="_x0000_i1040" type="#_x0000_t75" style="width:28.5pt;height:18.75pt" o:ole="">
                  <v:imagedata r:id="rId40" o:title=""/>
                </v:shape>
                <o:OLEObject Type="Embed" ProgID="Equation.3" ShapeID="_x0000_i1040" DrawAspect="Content" ObjectID="_1487441057" r:id="rId41"/>
              </w:object>
            </w:r>
            <w:r w:rsidR="00692C86" w:rsidRPr="001D4A95">
              <w:rPr>
                <w:rFonts w:ascii="Times New Roman" w:hAnsi="Times New Roman" w:cs="Times New Roman"/>
                <w:sz w:val="18"/>
                <w:szCs w:val="18"/>
                <w:lang w:val="sk-SK"/>
              </w:rPr>
              <w:t xml:space="preserve">, </w:t>
            </w:r>
            <w:r w:rsidR="00692C86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80" w:dyaOrig="380">
                <v:shape id="_x0000_i1041" type="#_x0000_t75" style="width:28.5pt;height:18.75pt" o:ole="">
                  <v:imagedata r:id="rId42" o:title=""/>
                </v:shape>
                <o:OLEObject Type="Embed" ProgID="Equation.3" ShapeID="_x0000_i1041" DrawAspect="Content" ObjectID="_1487441058" r:id="rId43"/>
              </w:object>
            </w:r>
            <w:r w:rsidR="00692C86" w:rsidRPr="001D4A95">
              <w:rPr>
                <w:rFonts w:ascii="Times New Roman" w:hAnsi="Times New Roman" w:cs="Times New Roman"/>
                <w:sz w:val="18"/>
                <w:szCs w:val="18"/>
                <w:lang w:val="sk-SK"/>
              </w:rPr>
              <w:t xml:space="preserve">, </w:t>
            </w:r>
            <w:r w:rsidR="00692C86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580" w:dyaOrig="380">
                <v:shape id="_x0000_i1042" type="#_x0000_t75" style="width:28.5pt;height:18.75pt" o:ole="">
                  <v:imagedata r:id="rId44" o:title=""/>
                </v:shape>
                <o:OLEObject Type="Embed" ProgID="Equation.3" ShapeID="_x0000_i1042" DrawAspect="Content" ObjectID="_1487441059" r:id="rId45"/>
              </w:object>
            </w:r>
            <w:r w:rsidR="00692C86" w:rsidRPr="001D4A95">
              <w:rPr>
                <w:rFonts w:ascii="Times New Roman" w:hAnsi="Times New Roman" w:cs="Times New Roman"/>
                <w:sz w:val="18"/>
                <w:szCs w:val="18"/>
                <w:lang w:val="sk-SK"/>
              </w:rPr>
              <w:t xml:space="preserve"> a </w:t>
            </w:r>
            <w:r w:rsidR="00692C86"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600" w:dyaOrig="400">
                <v:shape id="_x0000_i1043" type="#_x0000_t75" style="width:30pt;height:20.25pt" o:ole="">
                  <v:imagedata r:id="rId46" o:title=""/>
                </v:shape>
                <o:OLEObject Type="Embed" ProgID="Equation.3" ShapeID="_x0000_i1043" DrawAspect="Content" ObjectID="_1487441060" r:id="rId47"/>
              </w:object>
            </w:r>
            <w:r w:rsidR="00692C86" w:rsidRPr="001D4A95">
              <w:rPr>
                <w:rFonts w:ascii="Times New Roman" w:hAnsi="Times New Roman" w:cs="Times New Roman"/>
                <w:sz w:val="18"/>
                <w:szCs w:val="18"/>
                <w:lang w:val="sk-SK"/>
              </w:rPr>
              <w:t xml:space="preserve"> </w:t>
            </w:r>
            <w:r w:rsidR="00692C86" w:rsidRPr="00692C86">
              <w:rPr>
                <w:lang w:val="sk-SK"/>
              </w:rPr>
              <w:t>a</w:t>
            </w:r>
            <w:r w:rsidR="00692C86">
              <w:rPr>
                <w:lang w:val="sk-SK"/>
              </w:rPr>
              <w:t> odložené rastúce dôchodky</w:t>
            </w:r>
            <w:r w:rsidR="00692C86" w:rsidRPr="00692C86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použitím </w:t>
            </w:r>
            <w:r w:rsidRPr="001D4A95">
              <w:rPr>
                <w:rFonts w:ascii="Times New Roman" w:hAnsi="Times New Roman" w:cs="Times New Roman"/>
                <w:i/>
                <w:iCs/>
                <w:lang w:val="sk-SK"/>
              </w:rPr>
              <w:t>i</w:t>
            </w:r>
            <w:r w:rsidRPr="001D4A95">
              <w:rPr>
                <w:rFonts w:ascii="Times New Roman" w:hAnsi="Times New Roman" w:cs="Times New Roman"/>
                <w:lang w:val="sk-SK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sk-SK"/>
              </w:rPr>
              <w:t>v</w:t>
            </w:r>
            <w:r w:rsidRPr="001D4A95">
              <w:rPr>
                <w:rFonts w:ascii="Times New Roman" w:hAnsi="Times New Roman" w:cs="Times New Roman"/>
                <w:lang w:val="sk-SK"/>
              </w:rPr>
              <w:t xml:space="preserve">, </w:t>
            </w:r>
            <w:r w:rsidRPr="001D4A95">
              <w:rPr>
                <w:rFonts w:ascii="Times New Roman" w:hAnsi="Times New Roman" w:cs="Times New Roman"/>
                <w:i/>
                <w:iCs/>
                <w:lang w:val="sk-SK"/>
              </w:rPr>
              <w:t>n</w:t>
            </w:r>
            <w:r w:rsidRPr="001D4A95">
              <w:rPr>
                <w:rFonts w:ascii="Times New Roman" w:hAnsi="Times New Roman" w:cs="Times New Roman"/>
                <w:lang w:val="sk-SK"/>
              </w:rPr>
              <w:t xml:space="preserve">, </w:t>
            </w:r>
            <w:r w:rsidRPr="009176A7">
              <w:rPr>
                <w:rFonts w:ascii="SymbolMT" w:hAnsi="SymbolMT" w:cs="SymbolMT"/>
              </w:rPr>
              <w:t>δ</w:t>
            </w:r>
            <w:r w:rsidRPr="001D4A95">
              <w:rPr>
                <w:rFonts w:ascii="Times New Roman" w:hAnsi="Times New Roman" w:cs="Times New Roman"/>
                <w:lang w:val="sk-SK"/>
              </w:rPr>
              <w:t xml:space="preserve">,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20" w:dyaOrig="380">
                <v:shape id="_x0000_i1044" type="#_x0000_t75" style="width:16.5pt;height:18.75pt" o:ole="">
                  <v:imagedata r:id="rId18" o:title=""/>
                </v:shape>
                <o:OLEObject Type="Embed" ProgID="Equation.3" ShapeID="_x0000_i1044" DrawAspect="Content" ObjectID="_1487441061" r:id="rId48"/>
              </w:object>
            </w:r>
            <w:r w:rsidRPr="001D4A95">
              <w:rPr>
                <w:rFonts w:ascii="Times New Roman" w:hAnsi="Times New Roman" w:cs="Times New Roman"/>
                <w:lang w:val="sk-SK"/>
              </w:rPr>
              <w:t xml:space="preserve"> </w:t>
            </w:r>
            <w:r>
              <w:rPr>
                <w:lang w:val="sk-SK"/>
              </w:rPr>
              <w:t xml:space="preserve">a </w:t>
            </w:r>
            <w:r w:rsidRPr="009176A7">
              <w:rPr>
                <w:rFonts w:ascii="Times New Roman" w:hAnsi="Times New Roman" w:cs="Times New Roman"/>
                <w:position w:val="-14"/>
                <w:sz w:val="18"/>
                <w:szCs w:val="18"/>
              </w:rPr>
              <w:object w:dxaOrig="320" w:dyaOrig="380">
                <v:shape id="_x0000_i1045" type="#_x0000_t75" style="width:16.5pt;height:18.75pt" o:ole="">
                  <v:imagedata r:id="rId10" o:title=""/>
                </v:shape>
                <o:OLEObject Type="Embed" ProgID="Equation.3" ShapeID="_x0000_i1045" DrawAspect="Content" ObjectID="_1487441062" r:id="rId49"/>
              </w:object>
            </w:r>
            <w:r w:rsidRPr="001D4A95">
              <w:rPr>
                <w:rFonts w:ascii="Times New Roman" w:hAnsi="Times New Roman" w:cs="Times New Roman"/>
                <w:sz w:val="18"/>
                <w:szCs w:val="18"/>
                <w:lang w:val="sk-SK"/>
              </w:rPr>
              <w:t>.</w:t>
            </w:r>
          </w:p>
          <w:p w:rsidR="00D51027" w:rsidRDefault="00D51027" w:rsidP="00D51027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Zadefinovať princíp ekvivalencie </w:t>
            </w:r>
            <w:r w:rsidR="009176A7">
              <w:rPr>
                <w:lang w:val="sk-SK"/>
              </w:rPr>
              <w:t xml:space="preserve">(equation of value) </w:t>
            </w:r>
            <w:r>
              <w:rPr>
                <w:lang w:val="sk-SK"/>
              </w:rPr>
              <w:t>pre peňažné toky</w:t>
            </w:r>
          </w:p>
          <w:p w:rsidR="00AA1856" w:rsidRDefault="00AA1856" w:rsidP="00D51027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Popíšte umorovanie  pôžičky pomocou splátkových kalendárov. </w:t>
            </w:r>
          </w:p>
          <w:p w:rsidR="00AA1856" w:rsidRDefault="00AA1856" w:rsidP="00AA185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Pri </w:t>
            </w:r>
            <w:r w:rsidR="00984506">
              <w:rPr>
                <w:lang w:val="sk-SK"/>
              </w:rPr>
              <w:t>p</w:t>
            </w:r>
            <w:r w:rsidR="001F2C69">
              <w:rPr>
                <w:lang w:val="sk-SK"/>
              </w:rPr>
              <w:t>la</w:t>
            </w:r>
            <w:r w:rsidR="00984506">
              <w:rPr>
                <w:lang w:val="sk-SK"/>
              </w:rPr>
              <w:t xml:space="preserve">tbách s </w:t>
            </w:r>
            <w:r>
              <w:rPr>
                <w:lang w:val="sk-SK"/>
              </w:rPr>
              <w:t>konštantn</w:t>
            </w:r>
            <w:r w:rsidR="00984506">
              <w:rPr>
                <w:lang w:val="sk-SK"/>
              </w:rPr>
              <w:t>ou</w:t>
            </w:r>
            <w:r>
              <w:rPr>
                <w:lang w:val="sk-SK"/>
              </w:rPr>
              <w:t xml:space="preserve"> výšk</w:t>
            </w:r>
            <w:r w:rsidR="00984506">
              <w:rPr>
                <w:lang w:val="sk-SK"/>
              </w:rPr>
              <w:t>ou</w:t>
            </w:r>
            <w:r>
              <w:rPr>
                <w:lang w:val="sk-SK"/>
              </w:rPr>
              <w:t xml:space="preserve"> splátky</w:t>
            </w:r>
            <w:r w:rsidR="00984506">
              <w:rPr>
                <w:lang w:val="sk-SK"/>
              </w:rPr>
              <w:t xml:space="preserve"> </w:t>
            </w:r>
            <w:r w:rsidR="00984506" w:rsidRPr="001D4A95">
              <w:rPr>
                <w:lang w:val="sk-SK"/>
              </w:rPr>
              <w:t>(</w:t>
            </w:r>
            <w:r w:rsidR="00984506" w:rsidRPr="001D4A95">
              <w:rPr>
                <w:i/>
                <w:sz w:val="24"/>
                <w:lang w:val="sk-SK"/>
              </w:rPr>
              <w:t>platby s konštantnou anuitou</w:t>
            </w:r>
            <w:r w:rsidR="00984506" w:rsidRPr="001D4A95">
              <w:rPr>
                <w:sz w:val="24"/>
                <w:lang w:val="sk-SK"/>
              </w:rPr>
              <w:t>)</w:t>
            </w:r>
          </w:p>
          <w:p w:rsidR="00AA1856" w:rsidRDefault="00AA1856" w:rsidP="00AA185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Pri</w:t>
            </w:r>
            <w:r w:rsidR="00AD7780">
              <w:rPr>
                <w:lang w:val="sk-SK"/>
              </w:rPr>
              <w:t xml:space="preserve"> platbách s</w:t>
            </w:r>
            <w:r>
              <w:rPr>
                <w:lang w:val="sk-SK"/>
              </w:rPr>
              <w:t xml:space="preserve"> konštantn</w:t>
            </w:r>
            <w:r w:rsidR="00AD7780">
              <w:rPr>
                <w:lang w:val="sk-SK"/>
              </w:rPr>
              <w:t>ým</w:t>
            </w:r>
            <w:r>
              <w:rPr>
                <w:lang w:val="sk-SK"/>
              </w:rPr>
              <w:t xml:space="preserve"> znížení</w:t>
            </w:r>
            <w:r w:rsidR="00AD7780">
              <w:rPr>
                <w:lang w:val="sk-SK"/>
              </w:rPr>
              <w:t>m</w:t>
            </w:r>
            <w:r>
              <w:rPr>
                <w:lang w:val="sk-SK"/>
              </w:rPr>
              <w:t xml:space="preserve"> istiny</w:t>
            </w:r>
            <w:r w:rsidR="00AD7780">
              <w:rPr>
                <w:lang w:val="sk-SK"/>
              </w:rPr>
              <w:t xml:space="preserve"> (</w:t>
            </w:r>
            <w:r w:rsidR="00AD7780" w:rsidRPr="001D4A95">
              <w:rPr>
                <w:i/>
                <w:sz w:val="24"/>
                <w:lang w:val="sk-SK"/>
              </w:rPr>
              <w:t>platby s konštantným úmorom</w:t>
            </w:r>
            <w:r w:rsidR="00AD7780" w:rsidRPr="001D4A95">
              <w:rPr>
                <w:sz w:val="24"/>
                <w:lang w:val="sk-SK"/>
              </w:rPr>
              <w:t>)</w:t>
            </w:r>
          </w:p>
          <w:p w:rsidR="00AA1856" w:rsidRDefault="00AA1856" w:rsidP="00AA185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Pre oba typy v i a ii </w:t>
            </w:r>
            <w:r w:rsidRPr="00FD1F7E">
              <w:rPr>
                <w:lang w:val="sk-SK"/>
              </w:rPr>
              <w:t>určte</w:t>
            </w:r>
            <w:r>
              <w:rPr>
                <w:lang w:val="sk-SK"/>
              </w:rPr>
              <w:t xml:space="preserve"> v</w:t>
            </w:r>
            <w:r w:rsidR="00D30481">
              <w:rPr>
                <w:lang w:val="sk-SK"/>
              </w:rPr>
              <w:t>ýšku úroku a istiny v ľubovoľ</w:t>
            </w:r>
            <w:r>
              <w:rPr>
                <w:lang w:val="sk-SK"/>
              </w:rPr>
              <w:t>n</w:t>
            </w:r>
            <w:r w:rsidR="00D30481">
              <w:rPr>
                <w:lang w:val="sk-SK"/>
              </w:rPr>
              <w:t>om časovom</w:t>
            </w:r>
            <w:r>
              <w:rPr>
                <w:lang w:val="sk-SK"/>
              </w:rPr>
              <w:t xml:space="preserve"> moment</w:t>
            </w:r>
            <w:r w:rsidR="00D30481">
              <w:rPr>
                <w:lang w:val="sk-SK"/>
              </w:rPr>
              <w:t>e</w:t>
            </w:r>
          </w:p>
          <w:p w:rsidR="00AA1856" w:rsidRDefault="00AA1856" w:rsidP="006F046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Ukážte ako technika diskontovaných peňažných tokov môže byť použitá na ohodnotenie investičného </w:t>
            </w:r>
            <w:r w:rsidR="00FC7EA1" w:rsidRPr="00FD1F7E">
              <w:rPr>
                <w:lang w:val="sk-SK"/>
              </w:rPr>
              <w:t>projektu</w:t>
            </w:r>
          </w:p>
          <w:p w:rsidR="00AA1856" w:rsidRDefault="00AA1856" w:rsidP="006F046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Vypočítajte čistú s</w:t>
            </w:r>
            <w:r w:rsidR="001F2C69">
              <w:rPr>
                <w:lang w:val="sk-SK"/>
              </w:rPr>
              <w:t>ú</w:t>
            </w:r>
            <w:r>
              <w:rPr>
                <w:lang w:val="sk-SK"/>
              </w:rPr>
              <w:t>časnú a budúcu hodnotu príjmov a výdavkov spojených s investičným zámerom pri danej úrokovej miere.</w:t>
            </w:r>
          </w:p>
          <w:p w:rsidR="00AA1856" w:rsidRDefault="00AA1856" w:rsidP="006F046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Vyjadrite </w:t>
            </w:r>
            <w:r w:rsidRPr="009176A7">
              <w:rPr>
                <w:lang w:val="sk-SK"/>
              </w:rPr>
              <w:t xml:space="preserve">vnútornú </w:t>
            </w:r>
            <w:r w:rsidRPr="009176A7">
              <w:rPr>
                <w:rFonts w:cstheme="minorHAnsi"/>
                <w:lang w:val="sk-SK"/>
              </w:rPr>
              <w:t xml:space="preserve"> </w:t>
            </w:r>
            <w:r w:rsidR="00595235" w:rsidRPr="009176A7">
              <w:rPr>
                <w:rFonts w:cstheme="minorHAnsi"/>
                <w:lang w:val="sk-SK"/>
              </w:rPr>
              <w:t xml:space="preserve">výnosovú </w:t>
            </w:r>
            <w:r w:rsidRPr="009176A7">
              <w:rPr>
                <w:lang w:val="sk-SK"/>
              </w:rPr>
              <w:t xml:space="preserve">mieru </w:t>
            </w:r>
            <w:r w:rsidR="00FC7EA1" w:rsidRPr="009176A7">
              <w:rPr>
                <w:lang w:val="sk-SK"/>
              </w:rPr>
              <w:t>návratnosti</w:t>
            </w:r>
            <w:r>
              <w:rPr>
                <w:lang w:val="sk-SK"/>
              </w:rPr>
              <w:t xml:space="preserve"> (internal</w:t>
            </w:r>
            <w:r w:rsidR="00D30481">
              <w:rPr>
                <w:lang w:val="sk-SK"/>
              </w:rPr>
              <w:t xml:space="preserve"> </w:t>
            </w:r>
            <w:r>
              <w:rPr>
                <w:lang w:val="sk-SK"/>
              </w:rPr>
              <w:t>rate of return) vyplývajúcej</w:t>
            </w:r>
            <w:r w:rsidR="00D30481">
              <w:rPr>
                <w:lang w:val="sk-SK"/>
              </w:rPr>
              <w:t xml:space="preserve"> </w:t>
            </w:r>
            <w:r>
              <w:rPr>
                <w:lang w:val="sk-SK"/>
              </w:rPr>
              <w:t>z</w:t>
            </w:r>
            <w:r w:rsidR="00FC7EA1" w:rsidRPr="00FD1F7E">
              <w:rPr>
                <w:lang w:val="sk-SK"/>
              </w:rPr>
              <w:t> </w:t>
            </w:r>
            <w:r>
              <w:rPr>
                <w:lang w:val="sk-SK"/>
              </w:rPr>
              <w:t xml:space="preserve">peňažných tokov </w:t>
            </w:r>
            <w:r w:rsidR="006F0466">
              <w:rPr>
                <w:lang w:val="sk-SK"/>
              </w:rPr>
              <w:t>danej investície.</w:t>
            </w:r>
          </w:p>
          <w:p w:rsidR="006F0466" w:rsidRPr="00984506" w:rsidRDefault="006F0466" w:rsidP="006F0466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dobu návratnosti (payback period) a </w:t>
            </w:r>
            <w:r w:rsidRPr="009176A7">
              <w:rPr>
                <w:rFonts w:cstheme="minorHAnsi"/>
                <w:lang w:val="sk-SK"/>
              </w:rPr>
              <w:t>diskontovan</w:t>
            </w:r>
            <w:r w:rsidR="00595235" w:rsidRPr="009176A7">
              <w:rPr>
                <w:rFonts w:cstheme="minorHAnsi"/>
                <w:lang w:val="sk-SK"/>
              </w:rPr>
              <w:t>ú dobu</w:t>
            </w:r>
            <w:r w:rsidRPr="009176A7">
              <w:rPr>
                <w:lang w:val="sk-SK"/>
              </w:rPr>
              <w:t xml:space="preserve"> návratnosti</w:t>
            </w:r>
            <w:r>
              <w:rPr>
                <w:lang w:val="sk-SK"/>
              </w:rPr>
              <w:t xml:space="preserve"> </w:t>
            </w:r>
            <w:r w:rsidR="000D0229" w:rsidRPr="00984506">
              <w:rPr>
                <w:lang w:val="sk-SK"/>
              </w:rPr>
              <w:lastRenderedPageBreak/>
              <w:t>(discounted payback period)</w:t>
            </w:r>
            <w:r w:rsidRPr="00984506">
              <w:rPr>
                <w:lang w:val="sk-SK"/>
              </w:rPr>
              <w:t xml:space="preserve"> a vyjadrite ich vhodnosť na posudzovanie investičného </w:t>
            </w:r>
            <w:r w:rsidR="00FC7EA1" w:rsidRPr="00984506">
              <w:rPr>
                <w:lang w:val="sk-SK"/>
              </w:rPr>
              <w:t>projektu</w:t>
            </w:r>
            <w:r w:rsidRPr="00984506">
              <w:rPr>
                <w:lang w:val="sk-SK"/>
              </w:rPr>
              <w:t>.</w:t>
            </w:r>
          </w:p>
          <w:p w:rsidR="00F76798" w:rsidRPr="00984506" w:rsidRDefault="00F76798" w:rsidP="00F7679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Zadefinovať základné c</w:t>
            </w:r>
            <w:r w:rsidR="00FC7EA1" w:rsidRPr="00984506">
              <w:rPr>
                <w:lang w:val="sk-SK"/>
              </w:rPr>
              <w:t>ha</w:t>
            </w:r>
            <w:r w:rsidRPr="00984506">
              <w:rPr>
                <w:lang w:val="sk-SK"/>
              </w:rPr>
              <w:t xml:space="preserve">rakteristiky </w:t>
            </w:r>
            <w:r w:rsidR="00595235" w:rsidRPr="00984506">
              <w:rPr>
                <w:rFonts w:cstheme="minorHAnsi"/>
                <w:lang w:val="sk-SK"/>
              </w:rPr>
              <w:t>výnosnosti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Popíšte základné faktory, ktoré ovplyvňujú úroveň úrokových mier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Vysvetlite pojmy par výnos (</w:t>
            </w:r>
            <w:r w:rsidR="00FC7EA1" w:rsidRPr="00984506">
              <w:rPr>
                <w:lang w:val="sk-SK"/>
              </w:rPr>
              <w:t>výnos dlhopisu s rovnakou emisnou a odkupnou hodnotou</w:t>
            </w:r>
            <w:r w:rsidRPr="00984506">
              <w:rPr>
                <w:lang w:val="sk-SK"/>
              </w:rPr>
              <w:t>) a výnos do splatnosti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 xml:space="preserve">Vyjadrite vzťah medzi spotovými a forwardovými </w:t>
            </w:r>
            <w:r w:rsidR="00FC7EA1" w:rsidRPr="00984506">
              <w:rPr>
                <w:lang w:val="sk-SK"/>
              </w:rPr>
              <w:t>úrokový</w:t>
            </w:r>
            <w:r w:rsidRPr="00984506">
              <w:rPr>
                <w:lang w:val="sk-SK"/>
              </w:rPr>
              <w:t>mi mierami pri spojitom a diskrétnom modeli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 xml:space="preserve">Zadefinujte duráciu a konvexitu peňažného toku a ukážte </w:t>
            </w:r>
            <w:r w:rsidR="00AC7AD8" w:rsidRPr="00984506">
              <w:rPr>
                <w:lang w:val="sk-SK"/>
              </w:rPr>
              <w:t>ako môžu byť použ</w:t>
            </w:r>
            <w:r w:rsidRPr="00984506">
              <w:rPr>
                <w:lang w:val="sk-SK"/>
              </w:rPr>
              <w:t xml:space="preserve">ité na odhad citlivosti hodnoty peňažných tokov </w:t>
            </w:r>
            <w:r w:rsidR="00AC7AD8" w:rsidRPr="00984506">
              <w:rPr>
                <w:lang w:val="sk-SK"/>
              </w:rPr>
              <w:t>na zmenu úrovne výnosovej krivky</w:t>
            </w:r>
          </w:p>
          <w:p w:rsidR="00AC7AD8" w:rsidRPr="00F76798" w:rsidRDefault="00D30481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Vysvetlite ako sa durácia a konvexita</w:t>
            </w:r>
            <w:r>
              <w:rPr>
                <w:lang w:val="sk-SK"/>
              </w:rPr>
              <w:t xml:space="preserve"> využívajú pri (Redingtnovej) imunizácii portfólia poistných záväzkov (poistného kmeňa). </w:t>
            </w:r>
          </w:p>
          <w:p w:rsidR="00D51027" w:rsidRPr="00AA1856" w:rsidRDefault="00D51027" w:rsidP="00AA1856">
            <w:pPr>
              <w:rPr>
                <w:lang w:val="sk-SK"/>
              </w:rPr>
            </w:pPr>
          </w:p>
          <w:p w:rsidR="00D02320" w:rsidRDefault="00D02320" w:rsidP="00D02320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D02320">
              <w:rPr>
                <w:lang w:val="sk-SK"/>
              </w:rPr>
              <w:t>Definícia finančných derivátov a cenných papierov</w:t>
            </w:r>
          </w:p>
          <w:p w:rsidR="00F76798" w:rsidRDefault="00F76798" w:rsidP="00F7679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investičné a rizikové charakteristiky nasledujúcich aktív:</w:t>
            </w:r>
          </w:p>
          <w:p w:rsidR="00DD6629" w:rsidRDefault="00DD6629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Zmenka</w:t>
            </w:r>
          </w:p>
          <w:p w:rsidR="00DD6629" w:rsidRPr="00984506" w:rsidRDefault="00DD6629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Pokladničná poukážka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Štátny dlhopis s </w:t>
            </w:r>
            <w:r w:rsidRPr="00984506">
              <w:rPr>
                <w:rFonts w:cstheme="minorHAnsi"/>
                <w:lang w:val="sk-SK"/>
              </w:rPr>
              <w:t>konštantn</w:t>
            </w:r>
            <w:r w:rsidR="00595235" w:rsidRPr="00984506">
              <w:rPr>
                <w:rFonts w:cstheme="minorHAnsi"/>
                <w:lang w:val="sk-SK"/>
              </w:rPr>
              <w:t>ým výnosom</w:t>
            </w:r>
          </w:p>
          <w:p w:rsidR="00DD6629" w:rsidRPr="00984506" w:rsidRDefault="00F76798" w:rsidP="00DD6629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 xml:space="preserve">Dlhopis vydaný bankou alebo </w:t>
            </w:r>
            <w:r w:rsidRPr="00984506">
              <w:rPr>
                <w:rFonts w:cstheme="minorHAnsi"/>
                <w:lang w:val="sk-SK"/>
              </w:rPr>
              <w:t>súkrom</w:t>
            </w:r>
            <w:r w:rsidR="00595235" w:rsidRPr="00984506">
              <w:rPr>
                <w:rFonts w:cstheme="minorHAnsi"/>
                <w:lang w:val="sk-SK"/>
              </w:rPr>
              <w:t>n</w:t>
            </w:r>
            <w:r w:rsidRPr="00984506">
              <w:rPr>
                <w:rFonts w:cstheme="minorHAnsi"/>
                <w:lang w:val="sk-SK"/>
              </w:rPr>
              <w:t>ou</w:t>
            </w:r>
            <w:r w:rsidRPr="00984506">
              <w:rPr>
                <w:lang w:val="sk-SK"/>
              </w:rPr>
              <w:t xml:space="preserve"> spoločnosťou s </w:t>
            </w:r>
            <w:r w:rsidR="00595235" w:rsidRPr="00984506">
              <w:rPr>
                <w:rFonts w:cstheme="minorHAnsi"/>
                <w:lang w:val="sk-SK"/>
              </w:rPr>
              <w:t>konštantným výnosom</w:t>
            </w:r>
          </w:p>
          <w:p w:rsidR="00F76798" w:rsidRPr="00984506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 w:rsidRPr="00984506">
              <w:rPr>
                <w:lang w:val="sk-SK"/>
              </w:rPr>
              <w:t>Indexovo viazané štátne dlhopisy</w:t>
            </w:r>
          </w:p>
          <w:p w:rsidR="00F76798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Akcie</w:t>
            </w:r>
          </w:p>
          <w:p w:rsidR="00F76798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Finančné deriváty</w:t>
            </w:r>
          </w:p>
          <w:p w:rsidR="00F76798" w:rsidRDefault="00F76798" w:rsidP="00F7679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Analyzovať základné </w:t>
            </w:r>
            <w:r w:rsidRPr="00984506">
              <w:rPr>
                <w:lang w:val="sk-SK"/>
              </w:rPr>
              <w:t>úlohy zloženého úrokovania</w:t>
            </w:r>
          </w:p>
          <w:p w:rsidR="00F76798" w:rsidRDefault="001F2C69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Vypočí</w:t>
            </w:r>
            <w:r w:rsidR="00F76798">
              <w:rPr>
                <w:lang w:val="sk-SK"/>
              </w:rPr>
              <w:t xml:space="preserve">tať súčasnú hodnotu peňažných tokov vyplývajúcich z cenného papiera </w:t>
            </w:r>
            <w:r w:rsidR="000D0229" w:rsidRPr="00FD1F7E">
              <w:rPr>
                <w:lang w:val="sk-SK"/>
              </w:rPr>
              <w:t>s</w:t>
            </w:r>
            <w:r w:rsidR="00F76798">
              <w:rPr>
                <w:lang w:val="sk-SK"/>
              </w:rPr>
              <w:t xml:space="preserve"> konštantnou úrokovou mierou, kde </w:t>
            </w:r>
            <w:r w:rsidR="000D0229" w:rsidRPr="00FD1F7E">
              <w:rPr>
                <w:lang w:val="sk-SK"/>
              </w:rPr>
              <w:t>kupónový</w:t>
            </w:r>
            <w:r w:rsidR="00F76798">
              <w:rPr>
                <w:lang w:val="sk-SK"/>
              </w:rPr>
              <w:t xml:space="preserve"> výnos je konštantný a </w:t>
            </w:r>
            <w:r w:rsidR="000D0229" w:rsidRPr="00FD1F7E">
              <w:rPr>
                <w:lang w:val="sk-SK"/>
              </w:rPr>
              <w:t>ist</w:t>
            </w:r>
            <w:r w:rsidR="00F76798" w:rsidRPr="00FD1F7E">
              <w:rPr>
                <w:lang w:val="sk-SK"/>
              </w:rPr>
              <w:t>i</w:t>
            </w:r>
            <w:r w:rsidR="000D0229" w:rsidRPr="00FD1F7E">
              <w:rPr>
                <w:lang w:val="sk-SK"/>
              </w:rPr>
              <w:t>n</w:t>
            </w:r>
            <w:r w:rsidR="00F76798" w:rsidRPr="00FD1F7E">
              <w:rPr>
                <w:lang w:val="sk-SK"/>
              </w:rPr>
              <w:t>a</w:t>
            </w:r>
            <w:r w:rsidR="00F76798">
              <w:rPr>
                <w:lang w:val="sk-SK"/>
              </w:rPr>
              <w:t xml:space="preserve"> je splatná k určitému </w:t>
            </w:r>
            <w:r w:rsidR="000D0229" w:rsidRPr="00FD1F7E">
              <w:rPr>
                <w:lang w:val="sk-SK"/>
              </w:rPr>
              <w:t>časovému bodu</w:t>
            </w:r>
            <w:r w:rsidR="00F76798">
              <w:rPr>
                <w:lang w:val="sk-SK"/>
              </w:rPr>
              <w:t>.</w:t>
            </w:r>
          </w:p>
          <w:p w:rsidR="00F76798" w:rsidRDefault="00F76798" w:rsidP="00F7679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Vypočítať hornú a </w:t>
            </w:r>
            <w:r w:rsidR="000D0229" w:rsidRPr="00FD1F7E">
              <w:rPr>
                <w:lang w:val="sk-SK"/>
              </w:rPr>
              <w:t>dolnú</w:t>
            </w:r>
            <w:r>
              <w:rPr>
                <w:lang w:val="sk-SK"/>
              </w:rPr>
              <w:t xml:space="preserve"> hranicu súčasnej hodnoty v prípadoch, kedy je na cenný papier s fixnou úrokovou mierou naviazaná opcia</w:t>
            </w:r>
          </w:p>
          <w:p w:rsidR="00AC7AD8" w:rsidRDefault="0028678D" w:rsidP="00AC7AD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 základ</w:t>
            </w:r>
            <w:r w:rsidR="00AC7AD8">
              <w:rPr>
                <w:lang w:val="sk-SK"/>
              </w:rPr>
              <w:t xml:space="preserve">né typy finančných derivátov </w:t>
            </w:r>
          </w:p>
          <w:p w:rsidR="00AC7AD8" w:rsidRDefault="00AC7AD8" w:rsidP="00AC7AD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Forward</w:t>
            </w:r>
          </w:p>
          <w:p w:rsidR="00AC7AD8" w:rsidRDefault="00AC7AD8" w:rsidP="00AC7AD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Futurita</w:t>
            </w:r>
          </w:p>
          <w:p w:rsidR="00AC7AD8" w:rsidRDefault="00AC7AD8" w:rsidP="00AC7AD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Opcia (kúpna </w:t>
            </w:r>
            <w:r w:rsidRPr="001D4A95">
              <w:rPr>
                <w:lang w:val="es-ES"/>
              </w:rPr>
              <w:t>/</w:t>
            </w:r>
            <w:r>
              <w:rPr>
                <w:lang w:val="sk-SK"/>
              </w:rPr>
              <w:t xml:space="preserve"> predajná, európska</w:t>
            </w:r>
            <w:r w:rsidRPr="001D4A95">
              <w:rPr>
                <w:lang w:val="es-ES"/>
              </w:rPr>
              <w:t xml:space="preserve"> / a</w:t>
            </w:r>
            <w:r>
              <w:rPr>
                <w:lang w:val="sk-SK"/>
              </w:rPr>
              <w:t>merická)</w:t>
            </w:r>
          </w:p>
          <w:p w:rsidR="00AC7AD8" w:rsidRDefault="00AC7AD8" w:rsidP="00AC7AD8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Opcia na swap (swaption)</w:t>
            </w:r>
          </w:p>
          <w:p w:rsidR="00AC7AD8" w:rsidRDefault="00AC7AD8" w:rsidP="00AC7AD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Určiť hodnotu finančného derivátu</w:t>
            </w:r>
            <w:r w:rsidR="00EE0CF0">
              <w:rPr>
                <w:lang w:val="sk-SK"/>
              </w:rPr>
              <w:t xml:space="preserve"> (opcie na akciu)</w:t>
            </w:r>
            <w:r>
              <w:rPr>
                <w:lang w:val="sk-SK"/>
              </w:rPr>
              <w:t xml:space="preserve"> </w:t>
            </w:r>
            <w:r w:rsidR="00EA14B7">
              <w:rPr>
                <w:lang w:val="sk-SK"/>
              </w:rPr>
              <w:t>za daných ekonomických podmienok</w:t>
            </w:r>
          </w:p>
          <w:p w:rsidR="004B593D" w:rsidRDefault="004B593D" w:rsidP="00094E9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</w:t>
            </w:r>
            <w:r w:rsidR="001F2C69">
              <w:rPr>
                <w:lang w:val="sk-SK"/>
              </w:rPr>
              <w:t>sať</w:t>
            </w:r>
            <w:r>
              <w:rPr>
                <w:lang w:val="sk-SK"/>
              </w:rPr>
              <w:t xml:space="preserve"> faktory, ktoré ovplyvňujú hodnotu opcie na cenu akcie</w:t>
            </w:r>
          </w:p>
          <w:p w:rsidR="00EE0CF0" w:rsidRDefault="00EE0CF0" w:rsidP="00094E9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Zadef</w:t>
            </w:r>
            <w:r w:rsidR="001F2C69">
              <w:rPr>
                <w:lang w:val="sk-SK"/>
              </w:rPr>
              <w:t>inovať</w:t>
            </w:r>
            <w:r>
              <w:rPr>
                <w:lang w:val="sk-SK"/>
              </w:rPr>
              <w:t xml:space="preserve"> </w:t>
            </w:r>
            <w:r w:rsidR="000D0229" w:rsidRPr="00FD1F7E">
              <w:rPr>
                <w:lang w:val="sk-SK"/>
              </w:rPr>
              <w:t>kúpnu</w:t>
            </w:r>
            <w:r>
              <w:rPr>
                <w:lang w:val="sk-SK"/>
              </w:rPr>
              <w:t xml:space="preserve"> a predajnú opciu</w:t>
            </w:r>
          </w:p>
          <w:p w:rsidR="00EE0CF0" w:rsidRDefault="00EE0CF0" w:rsidP="00094E9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Zadefin</w:t>
            </w:r>
            <w:r w:rsidR="001F2C69">
              <w:rPr>
                <w:lang w:val="sk-SK"/>
              </w:rPr>
              <w:t>ovať</w:t>
            </w:r>
            <w:r>
              <w:rPr>
                <w:lang w:val="sk-SK"/>
              </w:rPr>
              <w:t xml:space="preserve"> európsku a americkú opciu</w:t>
            </w:r>
          </w:p>
          <w:p w:rsidR="00EE0CF0" w:rsidRDefault="001F2C69" w:rsidP="00094E9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Vysv</w:t>
            </w:r>
            <w:r w:rsidR="00EE0CF0">
              <w:rPr>
                <w:lang w:val="sk-SK"/>
              </w:rPr>
              <w:t>eli</w:t>
            </w:r>
            <w:r>
              <w:rPr>
                <w:lang w:val="sk-SK"/>
              </w:rPr>
              <w:t>ť</w:t>
            </w:r>
            <w:r w:rsidR="00EE0CF0">
              <w:rPr>
                <w:lang w:val="sk-SK"/>
              </w:rPr>
              <w:t xml:space="preserve"> predajno-kúpnu paritu (put call parity)</w:t>
            </w:r>
          </w:p>
          <w:p w:rsidR="00F76798" w:rsidRDefault="00DD6629" w:rsidP="00094E9B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094E9B" w:rsidRPr="00094E9B">
              <w:rPr>
                <w:lang w:val="sk-SK"/>
              </w:rPr>
              <w:t>,</w:t>
            </w:r>
            <w:r w:rsidR="00EA14B7" w:rsidRPr="00094E9B">
              <w:rPr>
                <w:lang w:val="sk-SK"/>
              </w:rPr>
              <w:t xml:space="preserve"> ke</w:t>
            </w:r>
            <w:r>
              <w:rPr>
                <w:lang w:val="sk-SK"/>
              </w:rPr>
              <w:t>dy</w:t>
            </w:r>
            <w:r w:rsidR="00EA14B7" w:rsidRPr="00094E9B">
              <w:rPr>
                <w:lang w:val="sk-SK"/>
              </w:rPr>
              <w:t xml:space="preserve"> je finančný derivát </w:t>
            </w:r>
            <w:r>
              <w:rPr>
                <w:lang w:val="sk-SK"/>
              </w:rPr>
              <w:t xml:space="preserve">(kúpna  a predajná opcia) </w:t>
            </w:r>
            <w:r w:rsidR="00EA14B7" w:rsidRPr="00094E9B">
              <w:rPr>
                <w:lang w:val="sk-SK"/>
              </w:rPr>
              <w:t xml:space="preserve">v stavoch </w:t>
            </w:r>
            <w:r w:rsidR="00094E9B" w:rsidRPr="00094E9B">
              <w:rPr>
                <w:lang w:val="sk-SK"/>
              </w:rPr>
              <w:t>„</w:t>
            </w:r>
            <w:r w:rsidR="00EA14B7" w:rsidRPr="00094E9B">
              <w:rPr>
                <w:lang w:val="sk-SK"/>
              </w:rPr>
              <w:t>in</w:t>
            </w:r>
            <w:r w:rsidR="00094E9B" w:rsidRPr="00094E9B">
              <w:rPr>
                <w:lang w:val="sk-SK"/>
              </w:rPr>
              <w:t xml:space="preserve"> </w:t>
            </w:r>
            <w:r w:rsidR="00EA14B7" w:rsidRPr="00094E9B">
              <w:rPr>
                <w:lang w:val="sk-SK"/>
              </w:rPr>
              <w:t xml:space="preserve">the </w:t>
            </w:r>
            <w:r w:rsidR="00094E9B" w:rsidRPr="00094E9B">
              <w:rPr>
                <w:lang w:val="sk-SK"/>
              </w:rPr>
              <w:t>money“</w:t>
            </w:r>
            <w:r w:rsidR="00EA14B7" w:rsidRPr="00094E9B">
              <w:rPr>
                <w:lang w:val="sk-SK"/>
              </w:rPr>
              <w:t xml:space="preserve">, </w:t>
            </w:r>
            <w:r w:rsidR="00094E9B" w:rsidRPr="00094E9B">
              <w:rPr>
                <w:lang w:val="sk-SK"/>
              </w:rPr>
              <w:t>„</w:t>
            </w:r>
            <w:r w:rsidR="00EA14B7" w:rsidRPr="00094E9B">
              <w:rPr>
                <w:lang w:val="sk-SK"/>
              </w:rPr>
              <w:t>at</w:t>
            </w:r>
            <w:r w:rsidR="00094E9B" w:rsidRPr="00094E9B">
              <w:rPr>
                <w:lang w:val="sk-SK"/>
              </w:rPr>
              <w:t xml:space="preserve"> </w:t>
            </w:r>
            <w:r w:rsidR="00EA14B7" w:rsidRPr="00094E9B">
              <w:rPr>
                <w:lang w:val="sk-SK"/>
              </w:rPr>
              <w:t xml:space="preserve">the </w:t>
            </w:r>
            <w:r w:rsidR="00094E9B" w:rsidRPr="00094E9B">
              <w:rPr>
                <w:lang w:val="sk-SK"/>
              </w:rPr>
              <w:t>money“</w:t>
            </w:r>
            <w:r w:rsidR="00EA14B7" w:rsidRPr="00094E9B">
              <w:rPr>
                <w:lang w:val="sk-SK"/>
              </w:rPr>
              <w:t xml:space="preserve"> a </w:t>
            </w:r>
            <w:r w:rsidR="00094E9B" w:rsidRPr="00094E9B">
              <w:rPr>
                <w:lang w:val="sk-SK"/>
              </w:rPr>
              <w:t>„</w:t>
            </w:r>
            <w:r w:rsidR="00EA14B7" w:rsidRPr="00094E9B">
              <w:rPr>
                <w:lang w:val="sk-SK"/>
              </w:rPr>
              <w:t xml:space="preserve">out of </w:t>
            </w:r>
            <w:r w:rsidR="00094E9B" w:rsidRPr="00094E9B">
              <w:rPr>
                <w:lang w:val="sk-SK"/>
              </w:rPr>
              <w:t>money“</w:t>
            </w:r>
            <w:r w:rsidR="00EA14B7" w:rsidRPr="00094E9B">
              <w:rPr>
                <w:lang w:val="sk-SK"/>
              </w:rPr>
              <w:t xml:space="preserve">  a určiť jeho hodnotu</w:t>
            </w:r>
          </w:p>
          <w:p w:rsidR="004B593D" w:rsidRPr="00094E9B" w:rsidRDefault="004B593D" w:rsidP="004B1DA1">
            <w:pPr>
              <w:pStyle w:val="ListParagraph"/>
              <w:ind w:left="1800"/>
              <w:rPr>
                <w:lang w:val="sk-SK"/>
              </w:rPr>
            </w:pPr>
          </w:p>
          <w:p w:rsidR="00D02320" w:rsidRDefault="00D02320" w:rsidP="00D02320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D02320">
              <w:rPr>
                <w:lang w:val="sk-SK"/>
              </w:rPr>
              <w:t xml:space="preserve"> Stochastické výpočty vo financiách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Markovov proces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4B1DA1">
              <w:rPr>
                <w:lang w:val="sk-SK"/>
              </w:rPr>
              <w:t>Popíšte Wienerov proces a</w:t>
            </w:r>
            <w:r>
              <w:rPr>
                <w:lang w:val="sk-SK"/>
              </w:rPr>
              <w:t xml:space="preserve"> Brownov pohyb.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zovšeobecnený Wienerov proces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Itôov Proces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Vysvetlite Monte Carlo Simuláciu a pomocou nej určite hodnotu</w:t>
            </w:r>
          </w:p>
          <w:p w:rsidR="004B1DA1" w:rsidRDefault="004B1DA1" w:rsidP="004B1DA1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Akcie</w:t>
            </w:r>
          </w:p>
          <w:p w:rsidR="004B1DA1" w:rsidRDefault="004B1DA1" w:rsidP="004B1DA1">
            <w:pPr>
              <w:pStyle w:val="ListParagraph"/>
              <w:numPr>
                <w:ilvl w:val="2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lastRenderedPageBreak/>
              <w:t>Poistného záväzku</w:t>
            </w:r>
          </w:p>
          <w:p w:rsidR="004B1DA1" w:rsidRDefault="004B1DA1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Popíšte Blackovu rovnicu na ohodnotenie </w:t>
            </w:r>
            <w:r w:rsidR="009D607F">
              <w:rPr>
                <w:lang w:val="sk-SK"/>
              </w:rPr>
              <w:t>opcií na ceny akcie</w:t>
            </w:r>
          </w:p>
          <w:p w:rsidR="009D607F" w:rsidRDefault="009D607F" w:rsidP="004B1DA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Popíšte </w:t>
            </w:r>
            <w:r w:rsidRPr="00FD1F7E">
              <w:rPr>
                <w:lang w:val="sk-SK"/>
              </w:rPr>
              <w:t>Black</w:t>
            </w:r>
            <w:r w:rsidR="000D0229" w:rsidRPr="00FD1F7E">
              <w:rPr>
                <w:lang w:val="sk-SK"/>
              </w:rPr>
              <w:t>ovu</w:t>
            </w:r>
            <w:r>
              <w:rPr>
                <w:lang w:val="sk-SK"/>
              </w:rPr>
              <w:t xml:space="preserve">-Scholesovu rovnicu na ohodnotenie opcií </w:t>
            </w:r>
            <w:r w:rsidR="000D0229" w:rsidRPr="00FD1F7E">
              <w:rPr>
                <w:lang w:val="sk-SK"/>
              </w:rPr>
              <w:t>pri danej úrovni</w:t>
            </w:r>
            <w:r>
              <w:rPr>
                <w:lang w:val="sk-SK"/>
              </w:rPr>
              <w:t xml:space="preserve"> úrokovej miery</w:t>
            </w:r>
          </w:p>
          <w:p w:rsidR="00E66436" w:rsidRDefault="00D02320" w:rsidP="006F0466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D02320">
              <w:rPr>
                <w:lang w:val="sk-SK"/>
              </w:rPr>
              <w:t>Teória stochastickej úrokovej miery</w:t>
            </w:r>
          </w:p>
          <w:p w:rsidR="00AC7AD8" w:rsidRDefault="00AC7AD8" w:rsidP="00AC7AD8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Popíšte koncept stochastickej úrokovej miery a základné rozdiely medzi stochastickým a deterministickým prístupom.</w:t>
            </w:r>
          </w:p>
          <w:p w:rsidR="00AC7AD8" w:rsidRDefault="0028678D" w:rsidP="0028678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Popíšte equlibrium modely – </w:t>
            </w:r>
            <w:r w:rsidRPr="00FD1F7E">
              <w:rPr>
                <w:lang w:val="sk-SK"/>
              </w:rPr>
              <w:t>Rendleman</w:t>
            </w:r>
            <w:r w:rsidR="00FD1F7E">
              <w:rPr>
                <w:lang w:val="sk-SK"/>
              </w:rPr>
              <w:t>ov-</w:t>
            </w:r>
            <w:r w:rsidRPr="00FD1F7E">
              <w:rPr>
                <w:lang w:val="sk-SK"/>
              </w:rPr>
              <w:t>Bartter</w:t>
            </w:r>
            <w:r w:rsidR="00FD1F7E">
              <w:rPr>
                <w:lang w:val="sk-SK"/>
              </w:rPr>
              <w:t>ov; Vasíčkov; Coxov-</w:t>
            </w:r>
            <w:r w:rsidRPr="00FD1F7E">
              <w:rPr>
                <w:lang w:val="sk-SK"/>
              </w:rPr>
              <w:t>Ingersoll</w:t>
            </w:r>
            <w:r w:rsidR="00FD1F7E">
              <w:rPr>
                <w:lang w:val="sk-SK"/>
              </w:rPr>
              <w:t>ov-</w:t>
            </w:r>
            <w:r w:rsidRPr="00FD1F7E">
              <w:rPr>
                <w:lang w:val="sk-SK"/>
              </w:rPr>
              <w:t>Ross</w:t>
            </w:r>
            <w:r w:rsidR="00FD1F7E">
              <w:rPr>
                <w:lang w:val="sk-SK"/>
              </w:rPr>
              <w:t>ov</w:t>
            </w:r>
          </w:p>
          <w:p w:rsidR="0028678D" w:rsidRPr="00E607F5" w:rsidRDefault="0028678D" w:rsidP="0028678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Popíšte </w:t>
            </w:r>
            <w:r w:rsidR="000D0229" w:rsidRPr="00FD1F7E">
              <w:rPr>
                <w:lang w:val="sk-SK"/>
              </w:rPr>
              <w:t>bez</w:t>
            </w:r>
            <w:r w:rsidR="004B1DA1" w:rsidRPr="00FD1F7E">
              <w:rPr>
                <w:lang w:val="sk-SK"/>
              </w:rPr>
              <w:t>arbitráž</w:t>
            </w:r>
            <w:r w:rsidR="000D0229" w:rsidRPr="00FD1F7E">
              <w:rPr>
                <w:lang w:val="sk-SK"/>
              </w:rPr>
              <w:t>ne</w:t>
            </w:r>
            <w:r w:rsidR="004B1DA1">
              <w:rPr>
                <w:lang w:val="sk-SK"/>
              </w:rPr>
              <w:t xml:space="preserve"> modely – Ho</w:t>
            </w:r>
            <w:r w:rsidR="000D0229" w:rsidRPr="00FD1F7E">
              <w:rPr>
                <w:lang w:val="sk-SK"/>
              </w:rPr>
              <w:t>&amp;</w:t>
            </w:r>
            <w:r w:rsidR="004B1DA1">
              <w:rPr>
                <w:lang w:val="sk-SK"/>
              </w:rPr>
              <w:t xml:space="preserve">Lee model; </w:t>
            </w:r>
            <w:r w:rsidRPr="00FD1F7E">
              <w:rPr>
                <w:lang w:val="sk-SK"/>
              </w:rPr>
              <w:t>Hull</w:t>
            </w:r>
            <w:r w:rsidR="00FD1F7E">
              <w:rPr>
                <w:lang w:val="sk-SK"/>
              </w:rPr>
              <w:t>ov-</w:t>
            </w:r>
            <w:r w:rsidRPr="00FD1F7E">
              <w:rPr>
                <w:lang w:val="sk-SK"/>
              </w:rPr>
              <w:t>White</w:t>
            </w:r>
            <w:r w:rsidR="000D0229" w:rsidRPr="00FD1F7E">
              <w:rPr>
                <w:lang w:val="sk-SK"/>
              </w:rPr>
              <w:t>ov</w:t>
            </w:r>
            <w:r w:rsidR="004B1DA1">
              <w:rPr>
                <w:lang w:val="sk-SK"/>
              </w:rPr>
              <w:t xml:space="preserve"> (jedno</w:t>
            </w:r>
            <w:r w:rsidR="000D0229" w:rsidRPr="00FD1F7E">
              <w:rPr>
                <w:lang w:val="sk-SK"/>
              </w:rPr>
              <w:t>-</w:t>
            </w:r>
            <w:r w:rsidR="004B1DA1">
              <w:rPr>
                <w:lang w:val="sk-SK"/>
              </w:rPr>
              <w:t xml:space="preserve"> a dvojfaktorový)</w:t>
            </w:r>
            <w:r>
              <w:rPr>
                <w:lang w:val="sk-SK"/>
              </w:rPr>
              <w:t xml:space="preserve"> model</w:t>
            </w:r>
          </w:p>
        </w:tc>
      </w:tr>
      <w:tr w:rsidR="00F178FE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595235" w:rsidRDefault="00595235" w:rsidP="00E66436">
            <w:pPr>
              <w:rPr>
                <w:rFonts w:cstheme="minorHAnsi"/>
                <w:lang w:val="sk-SK"/>
              </w:rPr>
            </w:pPr>
            <w:r>
              <w:rPr>
                <w:rFonts w:cstheme="minorHAnsi"/>
                <w:lang w:val="sk-SK"/>
              </w:rPr>
              <w:t>S. J. Garrett – An introduction to the mathematics of finance, 2013, ISBN 978-0-08-098240-3</w:t>
            </w:r>
          </w:p>
          <w:p w:rsidR="004B593D" w:rsidRPr="00DB7452" w:rsidRDefault="004B593D" w:rsidP="00E66436">
            <w:pPr>
              <w:rPr>
                <w:lang w:val="sk-SK"/>
              </w:rPr>
            </w:pPr>
            <w:r w:rsidRPr="00DB7452">
              <w:rPr>
                <w:lang w:val="sk-SK"/>
              </w:rPr>
              <w:t>John C. Hull – Options, Futures and Other Derivatives</w:t>
            </w:r>
          </w:p>
        </w:tc>
      </w:tr>
      <w:tr w:rsidR="00F178FE" w:rsidTr="00F178FE">
        <w:tc>
          <w:tcPr>
            <w:tcW w:w="9576" w:type="dxa"/>
          </w:tcPr>
          <w:p w:rsidR="00E66436" w:rsidRPr="006142E9" w:rsidRDefault="00E66436" w:rsidP="006142E9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</w:tc>
      </w:tr>
    </w:tbl>
    <w:p w:rsidR="00CD3E2A" w:rsidRDefault="00572874"/>
    <w:sectPr w:rsidR="00CD3E2A" w:rsidSect="00CC3EBC">
      <w:headerReference w:type="default" r:id="rId50"/>
      <w:footerReference w:type="default" r:id="rId5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874" w:rsidRDefault="00572874" w:rsidP="00F178FE">
      <w:pPr>
        <w:spacing w:after="0" w:line="240" w:lineRule="auto"/>
      </w:pPr>
      <w:r>
        <w:separator/>
      </w:r>
    </w:p>
  </w:endnote>
  <w:endnote w:type="continuationSeparator" w:id="0">
    <w:p w:rsidR="00572874" w:rsidRDefault="00572874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57455C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913BC3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913BC3">
      <w:rPr>
        <w:lang w:val="sk-SK"/>
      </w:rPr>
      <w:fldChar w:fldCharType="separate"/>
    </w:r>
    <w:r w:rsidR="006142E9">
      <w:rPr>
        <w:noProof/>
        <w:lang w:val="sk-SK"/>
      </w:rPr>
      <w:t>3</w:t>
    </w:r>
    <w:r w:rsidR="00913BC3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6142E9" w:rsidRPr="006142E9">
        <w:rPr>
          <w:noProof/>
          <w:lang w:val="sk-SK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874" w:rsidRDefault="00572874" w:rsidP="00F178FE">
      <w:pPr>
        <w:spacing w:after="0" w:line="240" w:lineRule="auto"/>
      </w:pPr>
      <w:r>
        <w:separator/>
      </w:r>
    </w:p>
  </w:footnote>
  <w:footnote w:type="continuationSeparator" w:id="0">
    <w:p w:rsidR="00572874" w:rsidRDefault="00572874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13BC3" w:rsidRPr="00913BC3">
      <w:rPr>
        <w:noProof/>
      </w:rPr>
      <w:pict>
        <v:rect id="Rectangle 1" o:spid="_x0000_s2049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F178FE" w:rsidRDefault="00F003F0">
                <w:pPr>
                  <w:rPr>
                    <w:b/>
                    <w:color w:val="FFFFFF" w:themeColor="background1"/>
                    <w:lang w:val="sk-SK"/>
                  </w:rPr>
                </w:pPr>
                <w:r>
                  <w:rPr>
                    <w:b/>
                    <w:color w:val="FFFFFF" w:themeColor="background1"/>
                    <w:lang w:val="sk-SK"/>
                  </w:rPr>
                  <w:t xml:space="preserve">Predmet </w:t>
                </w:r>
                <w:r w:rsidR="00D02320">
                  <w:rPr>
                    <w:b/>
                    <w:color w:val="FFFFFF" w:themeColor="background1"/>
                    <w:lang w:val="sk-SK"/>
                  </w:rPr>
                  <w:t>B</w:t>
                </w:r>
                <w:r w:rsidRPr="00F003F0">
                  <w:rPr>
                    <w:b/>
                    <w:color w:val="FFFFFF" w:themeColor="background1"/>
                    <w:lang w:val="sk-SK"/>
                  </w:rPr>
                  <w:t xml:space="preserve">1 – </w:t>
                </w:r>
                <w:r w:rsidR="00D02320" w:rsidRPr="00D02320">
                  <w:rPr>
                    <w:b/>
                    <w:color w:val="FFFFFF" w:themeColor="background1"/>
                    <w:lang w:val="sk-SK"/>
                  </w:rPr>
                  <w:t>Finančná matematika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4305C"/>
    <w:rsid w:val="0005449F"/>
    <w:rsid w:val="000577A9"/>
    <w:rsid w:val="00087EEB"/>
    <w:rsid w:val="00094E9B"/>
    <w:rsid w:val="000A03F9"/>
    <w:rsid w:val="000C1ADA"/>
    <w:rsid w:val="000D0229"/>
    <w:rsid w:val="00195F8F"/>
    <w:rsid w:val="001D4A95"/>
    <w:rsid w:val="001F2C69"/>
    <w:rsid w:val="0020319B"/>
    <w:rsid w:val="00230B5F"/>
    <w:rsid w:val="00231709"/>
    <w:rsid w:val="0028678D"/>
    <w:rsid w:val="002C0C3F"/>
    <w:rsid w:val="002D6988"/>
    <w:rsid w:val="002F6B11"/>
    <w:rsid w:val="0035486C"/>
    <w:rsid w:val="0037040A"/>
    <w:rsid w:val="003C2341"/>
    <w:rsid w:val="004650F8"/>
    <w:rsid w:val="004B1DA1"/>
    <w:rsid w:val="004B593D"/>
    <w:rsid w:val="004D109A"/>
    <w:rsid w:val="005071B2"/>
    <w:rsid w:val="00572874"/>
    <w:rsid w:val="0057455C"/>
    <w:rsid w:val="00595235"/>
    <w:rsid w:val="005D20FC"/>
    <w:rsid w:val="006142E9"/>
    <w:rsid w:val="006353A9"/>
    <w:rsid w:val="00666D75"/>
    <w:rsid w:val="00692C86"/>
    <w:rsid w:val="006B320B"/>
    <w:rsid w:val="006C2E18"/>
    <w:rsid w:val="006F0466"/>
    <w:rsid w:val="0076568D"/>
    <w:rsid w:val="00767BF0"/>
    <w:rsid w:val="00773227"/>
    <w:rsid w:val="007C7335"/>
    <w:rsid w:val="007E0874"/>
    <w:rsid w:val="00805F60"/>
    <w:rsid w:val="00807094"/>
    <w:rsid w:val="00832BEF"/>
    <w:rsid w:val="00863655"/>
    <w:rsid w:val="008E21A5"/>
    <w:rsid w:val="008F4C98"/>
    <w:rsid w:val="00913BC3"/>
    <w:rsid w:val="009176A7"/>
    <w:rsid w:val="009231E9"/>
    <w:rsid w:val="00942A6A"/>
    <w:rsid w:val="00960797"/>
    <w:rsid w:val="00984506"/>
    <w:rsid w:val="009D607F"/>
    <w:rsid w:val="00A12C32"/>
    <w:rsid w:val="00A30DF2"/>
    <w:rsid w:val="00A36745"/>
    <w:rsid w:val="00A947B7"/>
    <w:rsid w:val="00A97AE2"/>
    <w:rsid w:val="00AA1856"/>
    <w:rsid w:val="00AC7AD8"/>
    <w:rsid w:val="00AD730C"/>
    <w:rsid w:val="00AD7780"/>
    <w:rsid w:val="00AF055C"/>
    <w:rsid w:val="00B00AE7"/>
    <w:rsid w:val="00B766AF"/>
    <w:rsid w:val="00B94B41"/>
    <w:rsid w:val="00BC0A24"/>
    <w:rsid w:val="00C04E14"/>
    <w:rsid w:val="00C371C4"/>
    <w:rsid w:val="00CC1D92"/>
    <w:rsid w:val="00CC3EBC"/>
    <w:rsid w:val="00CF29E4"/>
    <w:rsid w:val="00D02320"/>
    <w:rsid w:val="00D1048A"/>
    <w:rsid w:val="00D30481"/>
    <w:rsid w:val="00D51027"/>
    <w:rsid w:val="00D5475A"/>
    <w:rsid w:val="00D81FE1"/>
    <w:rsid w:val="00DA51B2"/>
    <w:rsid w:val="00DB7452"/>
    <w:rsid w:val="00DD6629"/>
    <w:rsid w:val="00DE4B20"/>
    <w:rsid w:val="00E607F5"/>
    <w:rsid w:val="00E66436"/>
    <w:rsid w:val="00EA14B7"/>
    <w:rsid w:val="00EB64A0"/>
    <w:rsid w:val="00EE0CF0"/>
    <w:rsid w:val="00EE1D4C"/>
    <w:rsid w:val="00F003F0"/>
    <w:rsid w:val="00F178FE"/>
    <w:rsid w:val="00F76798"/>
    <w:rsid w:val="00FB338B"/>
    <w:rsid w:val="00FC5669"/>
    <w:rsid w:val="00FC7EA1"/>
    <w:rsid w:val="00FD0E08"/>
    <w:rsid w:val="00FD0E25"/>
    <w:rsid w:val="00FD1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6568D"/>
    <w:rPr>
      <w:color w:val="800080" w:themeColor="followedHyperlink"/>
      <w:u w:val="single"/>
    </w:rPr>
  </w:style>
  <w:style w:type="paragraph" w:customStyle="1" w:styleId="Default">
    <w:name w:val="Default"/>
    <w:rsid w:val="00F00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FE"/>
  </w:style>
  <w:style w:type="paragraph" w:styleId="Footer">
    <w:name w:val="footer"/>
    <w:basedOn w:val="Normal"/>
    <w:link w:val="Foot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6568D"/>
    <w:rPr>
      <w:color w:val="800080" w:themeColor="followedHyperlink"/>
      <w:u w:val="single"/>
    </w:rPr>
  </w:style>
  <w:style w:type="paragraph" w:customStyle="1" w:styleId="Default">
    <w:name w:val="Default"/>
    <w:rsid w:val="00F00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47" Type="http://schemas.openxmlformats.org/officeDocument/2006/relationships/oleObject" Target="embeddings/oleObject19.bin"/><Relationship Id="rId50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8.bin"/><Relationship Id="rId53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8.wmf"/><Relationship Id="rId52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oleObject" Target="embeddings/oleObject20.bin"/><Relationship Id="rId8" Type="http://schemas.openxmlformats.org/officeDocument/2006/relationships/footnotes" Target="footnotes.xml"/><Relationship Id="rId5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DDBE0-236F-4FFB-B8F9-AC61C29921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304D1-87DD-4F15-B920-5FF6F4EB2B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B0981E-CBBC-4E9B-B19B-12261F521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Union poisťovňa a.s.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8</cp:revision>
  <dcterms:created xsi:type="dcterms:W3CDTF">2015-02-02T16:41:00Z</dcterms:created>
  <dcterms:modified xsi:type="dcterms:W3CDTF">2015-03-09T20:17:00Z</dcterms:modified>
</cp:coreProperties>
</file>