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ook w:val="04A0"/>
      </w:tblPr>
      <w:tblGrid>
        <w:gridCol w:w="9576"/>
      </w:tblGrid>
      <w:tr w:rsidR="00F178FE" w:rsidRPr="00705CDA" w:rsidTr="00502705">
        <w:tc>
          <w:tcPr>
            <w:tcW w:w="9576" w:type="dxa"/>
          </w:tcPr>
          <w:p w:rsidR="00F178FE" w:rsidRDefault="00F178FE">
            <w:pPr>
              <w:rPr>
                <w:b/>
                <w:lang w:val="sk-SK"/>
              </w:rPr>
            </w:pPr>
            <w:r w:rsidRPr="00E66436">
              <w:rPr>
                <w:b/>
                <w:lang w:val="sk-SK"/>
              </w:rPr>
              <w:t>Cieľ:</w:t>
            </w:r>
          </w:p>
          <w:p w:rsidR="00F178FE" w:rsidRPr="00E66436" w:rsidRDefault="00ED2B13">
            <w:pPr>
              <w:rPr>
                <w:lang w:val="sk-SK"/>
              </w:rPr>
            </w:pPr>
            <w:r w:rsidRPr="00ED2B13">
              <w:rPr>
                <w:i/>
                <w:lang w:val="sk-SK"/>
              </w:rPr>
              <w:t>Poskytnúť základy matematických techník, vrátane stochastických, ktoré sú potrebné najmä pri aktuárskej práci.</w:t>
            </w:r>
          </w:p>
        </w:tc>
      </w:tr>
    </w:tbl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6" w:space="0" w:color="D9D9D9"/>
          <w:insideV w:val="single" w:sz="6" w:space="0" w:color="D9D9D9"/>
        </w:tblBorders>
        <w:tblLook w:val="0000"/>
      </w:tblPr>
      <w:tblGrid>
        <w:gridCol w:w="9576"/>
      </w:tblGrid>
      <w:tr w:rsidR="00F178FE" w:rsidRPr="00705CDA">
        <w:tc>
          <w:tcPr>
            <w:tcW w:w="9576" w:type="dxa"/>
            <w:tcBorders>
              <w:top w:val="single" w:sz="6" w:space="0" w:color="D9D9D9"/>
              <w:left w:val="single" w:sz="4" w:space="0" w:color="D9D9D9"/>
              <w:bottom w:val="single" w:sz="6" w:space="0" w:color="D9D9D9"/>
              <w:right w:val="single" w:sz="4" w:space="0" w:color="D9D9D9"/>
            </w:tcBorders>
          </w:tcPr>
          <w:p w:rsidR="00E66436" w:rsidRDefault="00E66436">
            <w:pPr>
              <w:spacing w:after="0" w:line="240" w:lineRule="auto"/>
              <w:rPr>
                <w:b/>
                <w:lang w:val="sk-SK"/>
              </w:rPr>
            </w:pPr>
            <w:r w:rsidRPr="00E66436">
              <w:rPr>
                <w:b/>
                <w:lang w:val="sk-SK"/>
              </w:rPr>
              <w:t>Obsah predmetu:</w:t>
            </w:r>
          </w:p>
          <w:p w:rsidR="001D6D3D" w:rsidRDefault="001D6D3D" w:rsidP="00502705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rPr>
                <w:lang w:val="sk-SK"/>
              </w:rPr>
            </w:pPr>
            <w:r w:rsidRPr="00ED2B13">
              <w:rPr>
                <w:lang w:val="sk-SK"/>
              </w:rPr>
              <w:t>Techniky ohodnocovania</w:t>
            </w:r>
          </w:p>
          <w:p w:rsidR="001D6D3D" w:rsidRDefault="001D6D3D" w:rsidP="00502705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Definovať nasledovné pojmy:</w:t>
            </w:r>
          </w:p>
          <w:p w:rsidR="001D6D3D" w:rsidRDefault="001D6D3D" w:rsidP="00502705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Doživotné poistenie na úmrtie</w:t>
            </w:r>
          </w:p>
          <w:p w:rsidR="001D6D3D" w:rsidRDefault="001D6D3D" w:rsidP="00502705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Dočasné poistenie na úmrtie</w:t>
            </w:r>
          </w:p>
          <w:p w:rsidR="001D6D3D" w:rsidRDefault="001D6D3D" w:rsidP="00502705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Poistenie na dožitie</w:t>
            </w:r>
          </w:p>
          <w:p w:rsidR="001D6D3D" w:rsidRDefault="001D6D3D" w:rsidP="00502705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Zmiešané poistenie</w:t>
            </w:r>
          </w:p>
          <w:p w:rsidR="001D6D3D" w:rsidRDefault="001D6D3D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Poistenie kritických chorôb</w:t>
            </w:r>
          </w:p>
          <w:p w:rsidR="001D6D3D" w:rsidRDefault="001D6D3D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Doživotný dôchodok</w:t>
            </w:r>
          </w:p>
          <w:p w:rsidR="001D6D3D" w:rsidRDefault="001D6D3D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Dočasný dôchodok</w:t>
            </w:r>
          </w:p>
          <w:p w:rsidR="001D6D3D" w:rsidRDefault="001D6D3D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Poistné</w:t>
            </w:r>
          </w:p>
          <w:p w:rsidR="001D6D3D" w:rsidRDefault="001D6D3D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Poistné plnenie</w:t>
            </w:r>
          </w:p>
          <w:p w:rsidR="001D6D3D" w:rsidRPr="00E54B13" w:rsidRDefault="001D6D3D">
            <w:pPr>
              <w:pStyle w:val="ListParagraph1"/>
              <w:spacing w:after="0" w:line="240" w:lineRule="auto"/>
              <w:ind w:left="1080"/>
              <w:rPr>
                <w:lang w:val="sk-SK"/>
              </w:rPr>
            </w:pPr>
            <w:r>
              <w:rPr>
                <w:lang w:val="sk-SK"/>
              </w:rPr>
              <w:t xml:space="preserve">vrátane ich odložených </w:t>
            </w:r>
            <w:r w:rsidR="004376D2">
              <w:rPr>
                <w:lang w:val="sk-SK"/>
              </w:rPr>
              <w:t>variant</w:t>
            </w:r>
            <w:r w:rsidR="00D157BE">
              <w:rPr>
                <w:lang w:val="sk-SK"/>
              </w:rPr>
              <w:t>ov</w:t>
            </w:r>
            <w:r w:rsidR="004376D2">
              <w:rPr>
                <w:lang w:val="sk-SK"/>
              </w:rPr>
              <w:t>.</w:t>
            </w:r>
          </w:p>
          <w:p w:rsidR="001D6D3D" w:rsidRDefault="001D6D3D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 xml:space="preserve">Uviesť výrazy vo forme sumácií pre výpočet strednej hodnoty a rozptylu </w:t>
            </w:r>
            <w:r w:rsidR="004376D2">
              <w:rPr>
                <w:lang w:val="sk-SK"/>
              </w:rPr>
              <w:t xml:space="preserve">prítomnej hodnoty </w:t>
            </w:r>
            <w:r>
              <w:rPr>
                <w:lang w:val="sk-SK"/>
              </w:rPr>
              <w:t>poistných plnení pre každý z kontraktov v bode a.</w:t>
            </w:r>
            <w:r w:rsidR="004376D2">
              <w:rPr>
                <w:lang w:val="sk-SK"/>
              </w:rPr>
              <w:t xml:space="preserve"> (i. – vii.)</w:t>
            </w:r>
            <w:r>
              <w:rPr>
                <w:lang w:val="sk-SK"/>
              </w:rPr>
              <w:t xml:space="preserve"> pomocou </w:t>
            </w:r>
            <w:r w:rsidR="004376D2">
              <w:rPr>
                <w:lang w:val="sk-SK"/>
              </w:rPr>
              <w:t xml:space="preserve">náhodnej premennej </w:t>
            </w:r>
            <w:r w:rsidR="00AE7D6A" w:rsidRPr="00391CA5">
              <w:rPr>
                <w:lang w:val="sk-SK"/>
              </w:rPr>
              <w:t xml:space="preserve">skrátenej </w:t>
            </w:r>
            <w:r w:rsidR="004376D2">
              <w:rPr>
                <w:lang w:val="sk-SK"/>
              </w:rPr>
              <w:t>doby</w:t>
            </w:r>
            <w:r w:rsidR="00AE7D6A" w:rsidRPr="00391CA5">
              <w:rPr>
                <w:lang w:val="sk-SK"/>
              </w:rPr>
              <w:t xml:space="preserve"> života</w:t>
            </w:r>
            <w:r>
              <w:rPr>
                <w:lang w:val="sk-SK"/>
              </w:rPr>
              <w:t xml:space="preserve"> za predpokladu, že poistné plnenie pri úmrtí sa vypláca na konci roka úmrtia, dôchodky sa vyplácajú ročne na konci alebo začiatku roka a, kde je</w:t>
            </w:r>
            <w:r w:rsidR="004376D2">
              <w:rPr>
                <w:lang w:val="sk-SK"/>
              </w:rPr>
              <w:t xml:space="preserve"> to</w:t>
            </w:r>
            <w:r>
              <w:rPr>
                <w:lang w:val="sk-SK"/>
              </w:rPr>
              <w:t xml:space="preserve"> možné, zjednodušiť tieto výrazy do formy praktickej pre výpočet alebo pomocou modelov diskontovaných </w:t>
            </w:r>
            <w:r w:rsidR="004376D2">
              <w:rPr>
                <w:lang w:val="sk-SK"/>
              </w:rPr>
              <w:t>peňažných</w:t>
            </w:r>
            <w:r>
              <w:rPr>
                <w:lang w:val="sk-SK"/>
              </w:rPr>
              <w:t xml:space="preserve"> tokov.</w:t>
            </w:r>
          </w:p>
          <w:p w:rsidR="001D6D3D" w:rsidRDefault="001D6D3D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 xml:space="preserve">Uviesť výrazy vo forme integrálov pre výpočet strednej hodnoty a rozptylu </w:t>
            </w:r>
            <w:r w:rsidR="004376D2">
              <w:rPr>
                <w:lang w:val="sk-SK"/>
              </w:rPr>
              <w:t xml:space="preserve">prítomnej hodnoty </w:t>
            </w:r>
            <w:r>
              <w:rPr>
                <w:lang w:val="sk-SK"/>
              </w:rPr>
              <w:t xml:space="preserve">poistných plnení pre každý z kontraktov v bode a. </w:t>
            </w:r>
            <w:r w:rsidR="004376D2">
              <w:rPr>
                <w:lang w:val="sk-SK"/>
              </w:rPr>
              <w:t xml:space="preserve">(i. – vii.) </w:t>
            </w:r>
            <w:r>
              <w:rPr>
                <w:lang w:val="sk-SK"/>
              </w:rPr>
              <w:t xml:space="preserve">pomocou </w:t>
            </w:r>
            <w:r w:rsidR="004376D2">
              <w:rPr>
                <w:lang w:val="sk-SK"/>
              </w:rPr>
              <w:t>náhodnej premennej doby</w:t>
            </w:r>
            <w:r w:rsidR="00AE7D6A" w:rsidRPr="00391CA5">
              <w:rPr>
                <w:lang w:val="sk-SK"/>
              </w:rPr>
              <w:t xml:space="preserve"> života</w:t>
            </w:r>
            <w:r>
              <w:rPr>
                <w:lang w:val="sk-SK"/>
              </w:rPr>
              <w:t xml:space="preserve"> za predpokladu, že poistné plnenie pri úmrtí sa vypláca </w:t>
            </w:r>
            <w:r w:rsidR="004376D2">
              <w:rPr>
                <w:lang w:val="sk-SK"/>
              </w:rPr>
              <w:t>bezprostredne po úmrtí</w:t>
            </w:r>
            <w:r>
              <w:rPr>
                <w:lang w:val="sk-SK"/>
              </w:rPr>
              <w:t>, dôchodky sa vyplácajú spojito a, kde je</w:t>
            </w:r>
            <w:r w:rsidR="004376D2">
              <w:rPr>
                <w:lang w:val="sk-SK"/>
              </w:rPr>
              <w:t xml:space="preserve"> to</w:t>
            </w:r>
            <w:r>
              <w:rPr>
                <w:lang w:val="sk-SK"/>
              </w:rPr>
              <w:t xml:space="preserve"> možné, zjednodušiť tieto výrazy do formy praktickej pre výpočet alebo pomocou modelov diskontovaných </w:t>
            </w:r>
            <w:r w:rsidR="004376D2">
              <w:rPr>
                <w:lang w:val="sk-SK"/>
              </w:rPr>
              <w:t>peňažných</w:t>
            </w:r>
            <w:r>
              <w:rPr>
                <w:lang w:val="sk-SK"/>
              </w:rPr>
              <w:t xml:space="preserve"> tokov.</w:t>
            </w:r>
          </w:p>
          <w:p w:rsidR="001D6D3D" w:rsidRDefault="001D6D3D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 xml:space="preserve">Rozšíriť </w:t>
            </w:r>
            <w:r w:rsidR="004376D2">
              <w:rPr>
                <w:lang w:val="sk-SK"/>
              </w:rPr>
              <w:t>použitie techník</w:t>
            </w:r>
            <w:r>
              <w:rPr>
                <w:lang w:val="sk-SK"/>
              </w:rPr>
              <w:t xml:space="preserve"> v bodoch b. a c. pre prípady</w:t>
            </w:r>
            <w:r w:rsidR="004376D2">
              <w:rPr>
                <w:lang w:val="sk-SK"/>
              </w:rPr>
              <w:t>,</w:t>
            </w:r>
            <w:r>
              <w:rPr>
                <w:lang w:val="sk-SK"/>
              </w:rPr>
              <w:t xml:space="preserve"> kde je poistné </w:t>
            </w:r>
            <w:r w:rsidR="00AE7D6A" w:rsidRPr="00391CA5">
              <w:rPr>
                <w:lang w:val="sk-SK"/>
              </w:rPr>
              <w:t>platené</w:t>
            </w:r>
            <w:r w:rsidRPr="00391CA5">
              <w:rPr>
                <w:lang w:val="sk-SK"/>
              </w:rPr>
              <w:t xml:space="preserve"> </w:t>
            </w:r>
            <w:r w:rsidR="004376D2">
              <w:rPr>
                <w:lang w:val="sk-SK"/>
              </w:rPr>
              <w:t>častejšie ako</w:t>
            </w:r>
            <w:r>
              <w:rPr>
                <w:lang w:val="sk-SK"/>
              </w:rPr>
              <w:t xml:space="preserve"> ročne a kde poistné plnenia môžu byť vyplácané častejšie než ročne.</w:t>
            </w:r>
          </w:p>
          <w:p w:rsidR="001D6D3D" w:rsidRPr="004E4461" w:rsidRDefault="009871A7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 w:rsidRPr="004E4461">
              <w:rPr>
                <w:lang w:val="sk-SK"/>
              </w:rPr>
              <w:t>Definovať symboly</w:t>
            </w:r>
            <w:r>
              <w:rPr>
                <w:lang w:val="sk-SK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sk-SK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sk-SK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lang w:val="sk-SK"/>
                    </w:rPr>
                    <m:t>x</m:t>
                  </m:r>
                </m:sub>
              </m:sSub>
            </m:oMath>
            <w:r>
              <w:rPr>
                <w:lang w:val="sk-SK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sk-SK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sk-SK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lang w:val="sk-SK"/>
                    </w:rPr>
                    <m:t>x:</m:t>
                  </m:r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  <w:lang w:val="sk-SK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lang w:val="sk-SK"/>
                        </w:rPr>
                        <m:t>n</m:t>
                      </m:r>
                      <m:r>
                        <w:rPr>
                          <w:rFonts w:ascii="Cambria Math" w:hAnsi="Cambria Math"/>
                        </w:rPr>
                        <m:t>|</m:t>
                      </m:r>
                    </m:e>
                  </m:acc>
                </m:sub>
              </m:sSub>
            </m:oMath>
            <w:r>
              <w:rPr>
                <w:lang w:val="sk-SK"/>
              </w:rPr>
              <w:t>,</w:t>
            </w:r>
            <m:oMath>
              <m:r>
                <w:rPr>
                  <w:rFonts w:ascii="Cambria Math" w:hAnsi="Cambria Math"/>
                  <w:lang w:val="sk-SK"/>
                </w:rPr>
                <m:t xml:space="preserve"> </m:t>
              </m:r>
              <m:sSubSup>
                <m:sSubSupPr>
                  <m:ctrlPr>
                    <w:rPr>
                      <w:rFonts w:ascii="Cambria Math" w:hAnsi="Cambria Math"/>
                      <w:i/>
                      <w:lang w:val="sk-SK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sk-SK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lang w:val="sk-SK"/>
                    </w:rPr>
                    <m:t>x:</m:t>
                  </m:r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  <w:lang w:val="sk-SK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lang w:val="sk-SK"/>
                        </w:rPr>
                        <m:t>n</m:t>
                      </m:r>
                      <m:r>
                        <w:rPr>
                          <w:rFonts w:ascii="Cambria Math" w:hAnsi="Cambria Math"/>
                        </w:rPr>
                        <m:t>|</m:t>
                      </m:r>
                    </m:e>
                  </m:acc>
                </m:sub>
                <m:sup>
                  <m:r>
                    <w:rPr>
                      <w:rFonts w:ascii="Cambria Math" w:hAnsi="Cambria Math"/>
                      <w:lang w:val="sk-SK"/>
                    </w:rPr>
                    <m:t>1</m:t>
                  </m:r>
                </m:sup>
              </m:sSubSup>
            </m:oMath>
            <w:r>
              <w:rPr>
                <w:lang w:val="sk-SK"/>
              </w:rPr>
              <w:t xml:space="preserve">,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lang w:val="sk-SK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sk-SK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lang w:val="sk-SK"/>
                    </w:rPr>
                    <m:t>x:</m:t>
                  </m:r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  <w:lang w:val="sk-SK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lang w:val="sk-SK"/>
                        </w:rPr>
                        <m:t>n</m:t>
                      </m:r>
                      <m:r>
                        <w:rPr>
                          <w:rFonts w:ascii="Cambria Math" w:hAnsi="Cambria Math"/>
                        </w:rPr>
                        <m:t>|</m:t>
                      </m:r>
                    </m:e>
                  </m:acc>
                </m:sub>
                <m:sup>
                  <m:r>
                    <w:rPr>
                      <w:rFonts w:ascii="Cambria Math" w:hAnsi="Cambria Math"/>
                      <w:lang w:val="sk-SK"/>
                    </w:rPr>
                    <m:t xml:space="preserve">    1</m:t>
                  </m:r>
                </m:sup>
              </m:sSubSup>
            </m:oMath>
            <w:r>
              <w:rPr>
                <w:lang w:val="sk-SK"/>
              </w:rPr>
              <w:t>,</w:t>
            </w:r>
            <m:oMath>
              <m:r>
                <w:rPr>
                  <w:rFonts w:ascii="Cambria Math" w:hAnsi="Cambria Math"/>
                  <w:lang w:val="sk-SK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sk-SK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sk-SK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lang w:val="sk-SK"/>
                    </w:rPr>
                    <m:t>x</m:t>
                  </m:r>
                </m:sub>
              </m:sSub>
            </m:oMath>
            <w:r>
              <w:rPr>
                <w:lang w:val="sk-SK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sk-SK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sk-SK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lang w:val="sk-SK"/>
                    </w:rPr>
                    <m:t>x:</m:t>
                  </m:r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  <w:lang w:val="sk-SK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lang w:val="sk-SK"/>
                        </w:rPr>
                        <m:t>n</m:t>
                      </m:r>
                      <m:r>
                        <w:rPr>
                          <w:rFonts w:ascii="Cambria Math" w:hAnsi="Cambria Math"/>
                        </w:rPr>
                        <m:t>|</m:t>
                      </m:r>
                    </m:e>
                  </m:acc>
                </m:sub>
              </m:sSub>
            </m:oMath>
            <w:r>
              <w:rPr>
                <w:lang w:val="sk-SK"/>
              </w:rPr>
              <w:t>,</w:t>
            </w:r>
            <m:oMath>
              <m:r>
                <w:rPr>
                  <w:rFonts w:ascii="Cambria Math" w:hAnsi="Cambria Math"/>
                  <w:lang w:val="sk-SK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sk-SK"/>
                    </w:rPr>
                  </m:ctrlPr>
                </m:sSubPr>
                <m:e>
                  <m:sPre>
                    <m:sPrePr>
                      <m:ctrlPr>
                        <w:rPr>
                          <w:rFonts w:ascii="Cambria Math" w:hAnsi="Cambria Math"/>
                          <w:i/>
                          <w:lang w:val="sk-SK"/>
                        </w:rPr>
                      </m:ctrlPr>
                    </m:sPrePr>
                    <m:sub>
                      <m:r>
                        <w:rPr>
                          <w:rFonts w:ascii="Cambria Math" w:hAnsi="Cambria Math"/>
                          <w:lang w:val="sk-SK"/>
                        </w:rPr>
                        <m:t>m</m:t>
                      </m:r>
                      <m:r>
                        <w:rPr>
                          <w:rFonts w:ascii="Cambria Math" w:hAnsi="Cambria Math"/>
                        </w:rPr>
                        <m:t>|</m:t>
                      </m:r>
                    </m:sub>
                    <m:sup/>
                    <m:e>
                      <m:r>
                        <w:rPr>
                          <w:rFonts w:ascii="Cambria Math" w:hAnsi="Cambria Math"/>
                          <w:lang w:val="sk-SK"/>
                        </w:rPr>
                        <m:t>a</m:t>
                      </m:r>
                    </m:e>
                  </m:sPre>
                </m:e>
                <m:sub>
                  <m:r>
                    <w:rPr>
                      <w:rFonts w:ascii="Cambria Math" w:hAnsi="Cambria Math"/>
                      <w:lang w:val="sk-SK"/>
                    </w:rPr>
                    <m:t>x:</m:t>
                  </m:r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  <w:lang w:val="sk-SK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lang w:val="sk-SK"/>
                        </w:rPr>
                        <m:t>n</m:t>
                      </m:r>
                      <m:r>
                        <w:rPr>
                          <w:rFonts w:ascii="Cambria Math" w:hAnsi="Cambria Math"/>
                        </w:rPr>
                        <m:t>|</m:t>
                      </m:r>
                    </m:e>
                  </m:acc>
                </m:sub>
              </m:sSub>
            </m:oMath>
            <w:r>
              <w:rPr>
                <w:lang w:val="sk-SK"/>
              </w:rPr>
              <w:t>,</w:t>
            </w:r>
            <m:oMath>
              <m:r>
                <w:rPr>
                  <w:rFonts w:ascii="Cambria Math" w:hAnsi="Cambria Math"/>
                  <w:lang w:val="sk-SK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sk-SK"/>
                    </w:rPr>
                  </m:ctrlPr>
                </m:sSubPr>
                <m:e>
                  <m:acc>
                    <m:accPr>
                      <m:chr m:val="̈"/>
                      <m:ctrlPr>
                        <w:rPr>
                          <w:rFonts w:ascii="Cambria Math" w:hAnsi="Cambria Math"/>
                          <w:i/>
                          <w:lang w:val="sk-SK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lang w:val="sk-SK"/>
                        </w:rPr>
                        <m:t>a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lang w:val="sk-SK"/>
                    </w:rPr>
                    <m:t>x</m:t>
                  </m:r>
                </m:sub>
              </m:sSub>
            </m:oMath>
            <w:r>
              <w:rPr>
                <w:lang w:val="sk-SK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sk-SK"/>
                    </w:rPr>
                  </m:ctrlPr>
                </m:sSubPr>
                <m:e>
                  <m:acc>
                    <m:accPr>
                      <m:chr m:val="̈"/>
                      <m:ctrlPr>
                        <w:rPr>
                          <w:rFonts w:ascii="Cambria Math" w:hAnsi="Cambria Math"/>
                          <w:i/>
                          <w:lang w:val="sk-SK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lang w:val="sk-SK"/>
                        </w:rPr>
                        <m:t>a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lang w:val="sk-SK"/>
                    </w:rPr>
                    <m:t>x:</m:t>
                  </m:r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  <w:lang w:val="sk-SK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lang w:val="sk-SK"/>
                        </w:rPr>
                        <m:t>n</m:t>
                      </m:r>
                      <m:r>
                        <w:rPr>
                          <w:rFonts w:ascii="Cambria Math" w:hAnsi="Cambria Math"/>
                        </w:rPr>
                        <m:t>|</m:t>
                      </m:r>
                    </m:e>
                  </m:acc>
                </m:sub>
              </m:sSub>
            </m:oMath>
            <w:r>
              <w:rPr>
                <w:lang w:val="sk-SK"/>
              </w:rPr>
              <w:t>,</w:t>
            </w:r>
            <m:oMath>
              <m:r>
                <w:rPr>
                  <w:rFonts w:ascii="Cambria Math" w:hAnsi="Cambria Math"/>
                  <w:lang w:val="sk-SK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sk-SK"/>
                    </w:rPr>
                  </m:ctrlPr>
                </m:sSubPr>
                <m:e>
                  <m:sPre>
                    <m:sPrePr>
                      <m:ctrlPr>
                        <w:rPr>
                          <w:rFonts w:ascii="Cambria Math" w:hAnsi="Cambria Math"/>
                          <w:i/>
                          <w:lang w:val="sk-SK"/>
                        </w:rPr>
                      </m:ctrlPr>
                    </m:sPrePr>
                    <m:sub>
                      <m:r>
                        <w:rPr>
                          <w:rFonts w:ascii="Cambria Math" w:hAnsi="Cambria Math"/>
                          <w:lang w:val="sk-SK"/>
                        </w:rPr>
                        <m:t>m</m:t>
                      </m:r>
                      <m:r>
                        <w:rPr>
                          <w:rFonts w:ascii="Cambria Math" w:hAnsi="Cambria Math"/>
                        </w:rPr>
                        <m:t>|</m:t>
                      </m:r>
                    </m:sub>
                    <m:sup/>
                    <m:e>
                      <m:acc>
                        <m:accPr>
                          <m:chr m:val="̈"/>
                          <m:ctrlPr>
                            <w:rPr>
                              <w:rFonts w:ascii="Cambria Math" w:hAnsi="Cambria Math"/>
                              <w:i/>
                              <w:lang w:val="sk-SK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lang w:val="sk-SK"/>
                            </w:rPr>
                            <m:t>a</m:t>
                          </m:r>
                        </m:e>
                      </m:acc>
                    </m:e>
                  </m:sPre>
                </m:e>
                <m:sub>
                  <m:r>
                    <w:rPr>
                      <w:rFonts w:ascii="Cambria Math" w:hAnsi="Cambria Math"/>
                      <w:lang w:val="sk-SK"/>
                    </w:rPr>
                    <m:t>x:</m:t>
                  </m:r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  <w:lang w:val="sk-SK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lang w:val="sk-SK"/>
                        </w:rPr>
                        <m:t>n</m:t>
                      </m:r>
                      <m:r>
                        <w:rPr>
                          <w:rFonts w:ascii="Cambria Math" w:hAnsi="Cambria Math"/>
                        </w:rPr>
                        <m:t>|</m:t>
                      </m:r>
                    </m:e>
                  </m:acc>
                </m:sub>
              </m:sSub>
            </m:oMath>
            <w:r>
              <w:rPr>
                <w:lang w:val="sk-SK"/>
              </w:rPr>
              <w:t xml:space="preserve"> a ich spojité ekvivalenty.</w:t>
            </w:r>
            <w:r w:rsidR="001D6D3D">
              <w:rPr>
                <w:lang w:val="sk-SK"/>
              </w:rPr>
              <w:t xml:space="preserve">. Rozšíriť anuitné faktory o možnosť, že platby </w:t>
            </w:r>
            <w:r w:rsidR="004376D2">
              <w:rPr>
                <w:lang w:val="sk-SK"/>
              </w:rPr>
              <w:t>sú častejšie ako ročné</w:t>
            </w:r>
            <w:r w:rsidR="001D6D3D">
              <w:rPr>
                <w:lang w:val="sk-SK"/>
              </w:rPr>
              <w:t>, ale nie spojité.</w:t>
            </w:r>
          </w:p>
          <w:p w:rsidR="001D6D3D" w:rsidRPr="004E4461" w:rsidRDefault="001D6D3D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 w:rsidRPr="004E4461">
              <w:rPr>
                <w:lang w:val="sk-SK"/>
              </w:rPr>
              <w:t>Odvodiť vzťahy medzi dôchodkami splatnými na začiatku a na konci obdobia, a medzi dočasnými, odloženými a doživotnými dôchodkami.</w:t>
            </w:r>
          </w:p>
          <w:p w:rsidR="009871A7" w:rsidRDefault="009871A7" w:rsidP="009871A7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 w:rsidRPr="008E14C4">
              <w:rPr>
                <w:lang w:val="sk-SK"/>
              </w:rPr>
              <w:t xml:space="preserve">Odvodiť vzťahy </w:t>
            </w:r>
            <m:oMath>
              <m:sSub>
                <m:sSubPr>
                  <m:ctrlPr>
                    <w:rPr>
                      <w:rFonts w:ascii="Cambria Math" w:hAnsi="Cambria Math"/>
                      <w:lang w:val="sk-SK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sk-SK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sk-SK"/>
                    </w:rPr>
                    <m:t>x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lang w:val="sk-SK"/>
                </w:rPr>
                <m:t>=1-d.</m:t>
              </m:r>
              <m:sSub>
                <m:sSubPr>
                  <m:ctrlPr>
                    <w:rPr>
                      <w:rFonts w:ascii="Cambria Math" w:hAnsi="Cambria Math"/>
                      <w:lang w:val="sk-SK"/>
                    </w:rPr>
                  </m:ctrlPr>
                </m:sSubPr>
                <m:e>
                  <m:acc>
                    <m:accPr>
                      <m:chr m:val="̈"/>
                      <m:ctrlPr>
                        <w:rPr>
                          <w:rFonts w:ascii="Cambria Math" w:hAnsi="Cambria Math"/>
                          <w:lang w:val="sk-SK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sk-SK"/>
                        </w:rPr>
                        <m:t>a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sk-SK"/>
                    </w:rPr>
                    <m:t>x</m:t>
                  </m:r>
                </m:sub>
              </m:sSub>
            </m:oMath>
            <w:r>
              <w:rPr>
                <w:lang w:val="sk-SK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lang w:val="sk-SK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sk-SK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sk-SK"/>
                    </w:rPr>
                    <m:t>x:</m:t>
                  </m:r>
                  <m:acc>
                    <m:accPr>
                      <m:chr m:val="̅"/>
                      <m:ctrlPr>
                        <w:rPr>
                          <w:rFonts w:ascii="Cambria Math" w:hAnsi="Cambria Math"/>
                          <w:lang w:val="sk-SK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sk-SK"/>
                        </w:rPr>
                        <m:t>n|</m:t>
                      </m:r>
                    </m:e>
                  </m:acc>
                </m:sub>
              </m:sSub>
              <m:r>
                <m:rPr>
                  <m:sty m:val="p"/>
                </m:rPr>
                <w:rPr>
                  <w:rFonts w:ascii="Cambria Math" w:hAnsi="Cambria Math"/>
                  <w:lang w:val="sk-SK"/>
                </w:rPr>
                <m:t>=1-d.</m:t>
              </m:r>
              <m:sSub>
                <m:sSubPr>
                  <m:ctrlPr>
                    <w:rPr>
                      <w:rFonts w:ascii="Cambria Math" w:hAnsi="Cambria Math"/>
                      <w:lang w:val="sk-SK"/>
                    </w:rPr>
                  </m:ctrlPr>
                </m:sSubPr>
                <m:e>
                  <m:acc>
                    <m:accPr>
                      <m:chr m:val="̈"/>
                      <m:ctrlPr>
                        <w:rPr>
                          <w:rFonts w:ascii="Cambria Math" w:hAnsi="Cambria Math"/>
                          <w:lang w:val="sk-SK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sk-SK"/>
                        </w:rPr>
                        <m:t>a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sk-SK"/>
                    </w:rPr>
                    <m:t>x:</m:t>
                  </m:r>
                  <m:acc>
                    <m:accPr>
                      <m:chr m:val="̅"/>
                      <m:ctrlPr>
                        <w:rPr>
                          <w:rFonts w:ascii="Cambria Math" w:hAnsi="Cambria Math"/>
                          <w:lang w:val="sk-SK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sk-SK"/>
                        </w:rPr>
                        <m:t>n|</m:t>
                      </m:r>
                    </m:e>
                  </m:acc>
                </m:sub>
              </m:sSub>
            </m:oMath>
            <w:r>
              <w:rPr>
                <w:lang w:val="sk-SK"/>
              </w:rPr>
              <w:t xml:space="preserve"> a ich spojité ekvivalenty.</w:t>
            </w:r>
          </w:p>
          <w:p w:rsidR="001D6D3D" w:rsidRDefault="001D6D3D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 w:rsidRPr="008E14C4">
              <w:rPr>
                <w:lang w:val="sk-SK"/>
              </w:rPr>
              <w:t>Rozšíriť techniky z bodov b.</w:t>
            </w:r>
            <w:r w:rsidR="004376D2">
              <w:rPr>
                <w:lang w:val="sk-SK"/>
              </w:rPr>
              <w:t xml:space="preserve"> </w:t>
            </w:r>
            <w:r w:rsidRPr="008E14C4">
              <w:rPr>
                <w:lang w:val="sk-SK"/>
              </w:rPr>
              <w:t>a c.  na výpočet hodnôt dôchodkov, poistného alebo poistného plnenia pri úmrtí</w:t>
            </w:r>
            <w:r w:rsidR="004376D2">
              <w:rPr>
                <w:lang w:val="sk-SK"/>
              </w:rPr>
              <w:t xml:space="preserve"> s premenlivými výplatami.</w:t>
            </w:r>
            <w:r w:rsidR="004376D2">
              <w:rPr>
                <w:highlight w:val="green"/>
                <w:lang w:val="sk-SK"/>
              </w:rPr>
              <w:t xml:space="preserve"> </w:t>
            </w:r>
          </w:p>
          <w:p w:rsidR="001D6D3D" w:rsidRDefault="001D6D3D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 xml:space="preserve">Definovať symboly </w:t>
            </w:r>
            <w:r w:rsidR="004376D2">
              <w:rPr>
                <w:lang w:val="sk-SK"/>
              </w:rPr>
              <w:t xml:space="preserve">a odvodiť vzťahy pre </w:t>
            </w:r>
            <w:r w:rsidR="009871A7">
              <w:rPr>
                <w:lang w:val="sk-SK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sk-SK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sk-SK"/>
                    </w:rPr>
                    <m:t>(IA)</m:t>
                  </m:r>
                </m:e>
                <m:sub>
                  <m:r>
                    <w:rPr>
                      <w:rFonts w:ascii="Cambria Math" w:hAnsi="Cambria Math"/>
                      <w:lang w:val="sk-SK"/>
                    </w:rPr>
                    <m:t>x</m:t>
                  </m:r>
                </m:sub>
              </m:sSub>
            </m:oMath>
            <w:r w:rsidR="009871A7">
              <w:rPr>
                <w:lang w:val="sk-SK"/>
              </w:rPr>
              <w:t>,</w:t>
            </w:r>
            <m:oMath>
              <m:r>
                <w:rPr>
                  <w:rFonts w:ascii="Cambria Math" w:hAnsi="Cambria Math"/>
                  <w:lang w:val="sk-SK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sk-SK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sk-SK"/>
                    </w:rPr>
                    <m:t>(I</m:t>
                  </m:r>
                  <m:acc>
                    <m:accPr>
                      <m:chr m:val="̈"/>
                      <m:ctrlPr>
                        <w:rPr>
                          <w:rFonts w:ascii="Cambria Math" w:hAnsi="Cambria Math"/>
                          <w:i/>
                          <w:lang w:val="sk-SK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lang w:val="sk-SK"/>
                        </w:rPr>
                        <m:t>a</m:t>
                      </m:r>
                    </m:e>
                  </m:acc>
                  <m:r>
                    <w:rPr>
                      <w:rFonts w:ascii="Cambria Math" w:hAnsi="Cambria Math"/>
                      <w:lang w:val="sk-SK"/>
                    </w:rPr>
                    <m:t>)</m:t>
                  </m:r>
                </m:e>
                <m:sub>
                  <m:r>
                    <w:rPr>
                      <w:rFonts w:ascii="Cambria Math" w:hAnsi="Cambria Math"/>
                      <w:lang w:val="sk-SK"/>
                    </w:rPr>
                    <m:t>x</m:t>
                  </m:r>
                </m:sub>
              </m:sSub>
            </m:oMath>
            <w:r w:rsidR="009871A7">
              <w:rPr>
                <w:lang w:val="sk-SK"/>
              </w:rPr>
              <w:t xml:space="preserve"> a 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sk-SK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sk-SK"/>
                    </w:rPr>
                    <m:t>(Ia)</m:t>
                  </m:r>
                </m:e>
                <m:sub>
                  <m:r>
                    <w:rPr>
                      <w:rFonts w:ascii="Cambria Math" w:hAnsi="Cambria Math"/>
                      <w:lang w:val="sk-SK"/>
                    </w:rPr>
                    <m:t>x</m:t>
                  </m:r>
                </m:sub>
              </m:sSub>
            </m:oMath>
            <w:r w:rsidR="009871A7">
              <w:rPr>
                <w:lang w:val="sk-SK"/>
              </w:rPr>
              <w:t>.</w:t>
            </w:r>
          </w:p>
          <w:p w:rsidR="001D6D3D" w:rsidRPr="00156F70" w:rsidRDefault="001D6D3D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 xml:space="preserve">Definovať kontrakty s podielom na zisku. Vymenovať možné spôsoby pripisovania zisku </w:t>
            </w:r>
            <w:r w:rsidR="004376D2">
              <w:rPr>
                <w:lang w:val="sk-SK"/>
              </w:rPr>
              <w:t>pri</w:t>
            </w:r>
            <w:r>
              <w:rPr>
                <w:lang w:val="sk-SK"/>
              </w:rPr>
              <w:t xml:space="preserve"> takýchto kontraktoch.</w:t>
            </w:r>
          </w:p>
          <w:p w:rsidR="001D6D3D" w:rsidRDefault="001D6D3D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ind w:left="1077" w:hanging="357"/>
              <w:rPr>
                <w:lang w:val="sk-SK"/>
              </w:rPr>
            </w:pPr>
            <w:r>
              <w:rPr>
                <w:lang w:val="sk-SK"/>
              </w:rPr>
              <w:t xml:space="preserve">Popísať a použiť praktické metódy na výpočet stredných hodnôt a rozptylov </w:t>
            </w:r>
            <w:r w:rsidR="004376D2">
              <w:rPr>
                <w:lang w:val="sk-SK"/>
              </w:rPr>
              <w:t xml:space="preserve">pre prítomnú hodnotu poistných plnení pre základné poistenia v </w:t>
            </w:r>
            <w:r>
              <w:rPr>
                <w:lang w:val="sk-SK"/>
              </w:rPr>
              <w:t>a.:</w:t>
            </w:r>
          </w:p>
          <w:p w:rsidR="001D6D3D" w:rsidRDefault="001D6D3D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 xml:space="preserve">Popísať funkcie úmrtnostnej tabuľky </w:t>
            </w:r>
            <w:r w:rsidR="00C909E1">
              <w:rPr>
                <w:rFonts w:ascii="Times New Roman" w:hAnsi="Times New Roman"/>
                <w:lang w:val="sk-SK"/>
              </w:rPr>
              <w:fldChar w:fldCharType="begin"/>
            </w:r>
            <w:r w:rsidR="004376D2">
              <w:rPr>
                <w:rFonts w:ascii="Times New Roman" w:hAnsi="Times New Roman"/>
                <w:lang w:val="sk-SK"/>
              </w:rPr>
              <w:instrText xml:space="preserve"> QUOTE </w:instrText>
            </w:r>
            <w:r w:rsidR="006D5122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53670" cy="144780"/>
                  <wp:effectExtent l="0" t="0" r="0" b="762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376D2">
              <w:rPr>
                <w:rFonts w:ascii="Times New Roman" w:hAnsi="Times New Roman"/>
                <w:lang w:val="sk-SK"/>
              </w:rPr>
              <w:instrText xml:space="preserve"> </w:instrText>
            </w:r>
            <w:r w:rsidR="00C909E1">
              <w:rPr>
                <w:rFonts w:ascii="Times New Roman" w:hAnsi="Times New Roman"/>
                <w:lang w:val="sk-SK"/>
              </w:rPr>
              <w:fldChar w:fldCharType="separate"/>
            </w:r>
            <w:r w:rsidR="006D5122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53670" cy="144780"/>
                  <wp:effectExtent l="0" t="0" r="0" b="762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909E1">
              <w:rPr>
                <w:rFonts w:ascii="Times New Roman" w:hAnsi="Times New Roman"/>
                <w:lang w:val="sk-SK"/>
              </w:rPr>
              <w:fldChar w:fldCharType="end"/>
            </w:r>
            <w:r w:rsidR="004376D2">
              <w:rPr>
                <w:lang w:val="sk-SK"/>
              </w:rPr>
              <w:t xml:space="preserve"> a </w:t>
            </w:r>
            <w:r w:rsidR="00C909E1">
              <w:rPr>
                <w:rFonts w:ascii="Times New Roman" w:hAnsi="Times New Roman"/>
                <w:lang w:val="sk-SK"/>
              </w:rPr>
              <w:fldChar w:fldCharType="begin"/>
            </w:r>
            <w:r w:rsidR="004376D2">
              <w:rPr>
                <w:rFonts w:ascii="Times New Roman" w:hAnsi="Times New Roman"/>
                <w:lang w:val="sk-SK"/>
              </w:rPr>
              <w:instrText xml:space="preserve"> QUOTE </w:instrText>
            </w:r>
            <w:r w:rsidR="006D5122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80975" cy="144780"/>
                  <wp:effectExtent l="0" t="0" r="9525" b="762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376D2">
              <w:rPr>
                <w:rFonts w:ascii="Times New Roman" w:hAnsi="Times New Roman"/>
                <w:lang w:val="sk-SK"/>
              </w:rPr>
              <w:instrText xml:space="preserve"> </w:instrText>
            </w:r>
            <w:r w:rsidR="00C909E1">
              <w:rPr>
                <w:rFonts w:ascii="Times New Roman" w:hAnsi="Times New Roman"/>
                <w:lang w:val="sk-SK"/>
              </w:rPr>
              <w:fldChar w:fldCharType="separate"/>
            </w:r>
            <w:r w:rsidR="006D5122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180975" cy="144780"/>
                  <wp:effectExtent l="0" t="0" r="9525" b="762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4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909E1">
              <w:rPr>
                <w:rFonts w:ascii="Times New Roman" w:hAnsi="Times New Roman"/>
                <w:lang w:val="sk-SK"/>
              </w:rPr>
              <w:fldChar w:fldCharType="end"/>
            </w:r>
            <w:r w:rsidR="004376D2">
              <w:rPr>
                <w:lang w:val="sk-SK"/>
              </w:rPr>
              <w:t>.</w:t>
            </w:r>
          </w:p>
          <w:p w:rsidR="001D6D3D" w:rsidRDefault="001D6D3D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 xml:space="preserve">Vyjadriť nasledovné pravdepodobnosti pomocou </w:t>
            </w:r>
            <w:r w:rsidR="004376D2">
              <w:rPr>
                <w:lang w:val="sk-SK"/>
              </w:rPr>
              <w:t>funkcií</w:t>
            </w:r>
            <w:r>
              <w:rPr>
                <w:lang w:val="sk-SK"/>
              </w:rPr>
              <w:t xml:space="preserve"> v bode i. :</w:t>
            </w:r>
            <m:oMath>
              <m:r>
                <w:rPr>
                  <w:rFonts w:ascii="Cambria Math" w:hAnsi="Cambria Math"/>
                  <w:lang w:val="sk-SK"/>
                </w:rPr>
                <m:t xml:space="preserve"> </m:t>
              </m:r>
              <m:sPre>
                <m:sPrePr>
                  <m:ctrlPr>
                    <w:rPr>
                      <w:rFonts w:ascii="Cambria Math" w:hAnsi="Cambria Math"/>
                      <w:i/>
                      <w:lang w:val="sk-SK"/>
                    </w:rPr>
                  </m:ctrlPr>
                </m:sPrePr>
                <m:sub>
                  <m:r>
                    <w:rPr>
                      <w:rFonts w:ascii="Cambria Math" w:hAnsi="Cambria Math"/>
                      <w:lang w:val="sk-SK"/>
                    </w:rPr>
                    <m:t>n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sk-SK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sk-SK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lang w:val="sk-SK"/>
                        </w:rPr>
                        <m:t>x</m:t>
                      </m:r>
                    </m:sub>
                  </m:sSub>
                </m:e>
              </m:sPre>
            </m:oMath>
            <w:r w:rsidR="009871A7">
              <w:rPr>
                <w:lang w:val="sk-SK"/>
              </w:rPr>
              <w:t xml:space="preserve">, </w:t>
            </w:r>
            <m:oMath>
              <m:sPre>
                <m:sPrePr>
                  <m:ctrlPr>
                    <w:rPr>
                      <w:rFonts w:ascii="Cambria Math" w:hAnsi="Cambria Math"/>
                      <w:i/>
                      <w:lang w:val="sk-SK"/>
                    </w:rPr>
                  </m:ctrlPr>
                </m:sPrePr>
                <m:sub>
                  <m:r>
                    <w:rPr>
                      <w:rFonts w:ascii="Cambria Math" w:hAnsi="Cambria Math"/>
                      <w:lang w:val="sk-SK"/>
                    </w:rPr>
                    <m:t>n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sk-SK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sk-SK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lang w:val="sk-SK"/>
                        </w:rPr>
                        <m:t>x</m:t>
                      </m:r>
                    </m:sub>
                  </m:sSub>
                </m:e>
              </m:sPre>
            </m:oMath>
            <w:r w:rsidR="009871A7">
              <w:rPr>
                <w:lang w:val="sk-SK"/>
              </w:rPr>
              <w:t xml:space="preserve">, </w:t>
            </w:r>
            <m:oMath>
              <m:sPre>
                <m:sPrePr>
                  <m:ctrlPr>
                    <w:rPr>
                      <w:rFonts w:ascii="Cambria Math" w:hAnsi="Cambria Math"/>
                      <w:i/>
                      <w:lang w:val="sk-SK"/>
                    </w:rPr>
                  </m:ctrlPr>
                </m:sPrePr>
                <m:sub>
                  <m:r>
                    <w:rPr>
                      <w:rFonts w:ascii="Cambria Math" w:hAnsi="Cambria Math"/>
                      <w:lang w:val="sk-SK"/>
                    </w:rPr>
                    <m:t>n|m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sk-SK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sk-SK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lang w:val="sk-SK"/>
                        </w:rPr>
                        <m:t>x</m:t>
                      </m:r>
                    </m:sub>
                  </m:sSub>
                </m:e>
              </m:sPre>
            </m:oMath>
            <w:r w:rsidR="009871A7">
              <w:rPr>
                <w:lang w:val="sk-SK"/>
              </w:rPr>
              <w:t>.</w:t>
            </w:r>
          </w:p>
          <w:p w:rsidR="001D6D3D" w:rsidRDefault="001D6D3D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Vyjadriť stredné hodnoty a rozptyly popísané v bode (</w:t>
            </w:r>
            <w:r w:rsidR="004376D2">
              <w:rPr>
                <w:lang w:val="sk-SK"/>
              </w:rPr>
              <w:t>a</w:t>
            </w:r>
            <w:r>
              <w:rPr>
                <w:lang w:val="sk-SK"/>
              </w:rPr>
              <w:t>) b</w:t>
            </w:r>
            <w:r w:rsidR="004376D2">
              <w:rPr>
                <w:lang w:val="sk-SK"/>
              </w:rPr>
              <w:t>.</w:t>
            </w:r>
            <w:r>
              <w:rPr>
                <w:lang w:val="sk-SK"/>
              </w:rPr>
              <w:t xml:space="preserve"> pomocou </w:t>
            </w:r>
            <w:r w:rsidR="004376D2">
              <w:rPr>
                <w:lang w:val="sk-SK"/>
              </w:rPr>
              <w:t>funkcií</w:t>
            </w:r>
            <w:r>
              <w:rPr>
                <w:lang w:val="sk-SK"/>
              </w:rPr>
              <w:t xml:space="preserve"> v bodoch i</w:t>
            </w:r>
            <w:r w:rsidR="004376D2">
              <w:rPr>
                <w:lang w:val="sk-SK"/>
              </w:rPr>
              <w:t>.</w:t>
            </w:r>
            <w:r>
              <w:rPr>
                <w:lang w:val="sk-SK"/>
              </w:rPr>
              <w:t> a ii.</w:t>
            </w:r>
          </w:p>
          <w:p w:rsidR="001D6D3D" w:rsidRDefault="001D6D3D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lastRenderedPageBreak/>
              <w:t>Určiť stredné hodnoty a rozptyly popísané v bode (</w:t>
            </w:r>
            <w:r w:rsidR="004376D2">
              <w:rPr>
                <w:lang w:val="sk-SK"/>
              </w:rPr>
              <w:t>a</w:t>
            </w:r>
            <w:r>
              <w:rPr>
                <w:lang w:val="sk-SK"/>
              </w:rPr>
              <w:t>) b</w:t>
            </w:r>
            <w:r w:rsidR="004376D2">
              <w:rPr>
                <w:lang w:val="sk-SK"/>
              </w:rPr>
              <w:t>.</w:t>
            </w:r>
            <w:r>
              <w:rPr>
                <w:lang w:val="sk-SK"/>
              </w:rPr>
              <w:t xml:space="preserve"> pomocou </w:t>
            </w:r>
            <w:r w:rsidR="004376D2">
              <w:rPr>
                <w:lang w:val="sk-SK"/>
              </w:rPr>
              <w:t>komutačných čísel</w:t>
            </w:r>
            <w:r w:rsidR="00FE7C4F">
              <w:rPr>
                <w:lang w:val="sk-SK"/>
              </w:rPr>
              <w:t xml:space="preserve"> </w:t>
            </w:r>
            <w:r w:rsidR="006D5122">
              <w:rPr>
                <w:lang w:val="sk-SK"/>
              </w:rPr>
              <w:t xml:space="preserve">alebo </w:t>
            </w:r>
            <w:r w:rsidR="004376D2">
              <w:rPr>
                <w:lang w:val="sk-SK"/>
              </w:rPr>
              <w:t>použitím</w:t>
            </w:r>
            <w:r>
              <w:rPr>
                <w:lang w:val="sk-SK"/>
              </w:rPr>
              <w:t xml:space="preserve"> vzťahov z bodu (</w:t>
            </w:r>
            <w:r w:rsidR="004376D2">
              <w:rPr>
                <w:lang w:val="sk-SK"/>
              </w:rPr>
              <w:t>a</w:t>
            </w:r>
            <w:r>
              <w:rPr>
                <w:lang w:val="sk-SK"/>
              </w:rPr>
              <w:t xml:space="preserve">) </w:t>
            </w:r>
            <w:r w:rsidR="006D5122">
              <w:rPr>
                <w:lang w:val="sk-SK"/>
              </w:rPr>
              <w:t>e</w:t>
            </w:r>
            <w:r>
              <w:rPr>
                <w:lang w:val="sk-SK"/>
              </w:rPr>
              <w:t>.</w:t>
            </w:r>
          </w:p>
          <w:p w:rsidR="004376D2" w:rsidRDefault="004376D2">
            <w:pPr>
              <w:pStyle w:val="ListParagraph1"/>
              <w:spacing w:after="0" w:line="240" w:lineRule="auto"/>
              <w:ind w:left="1077" w:hanging="357"/>
              <w:rPr>
                <w:lang w:val="sk-SK"/>
              </w:rPr>
            </w:pPr>
            <w:r>
              <w:rPr>
                <w:lang w:val="sk-SK"/>
              </w:rPr>
              <w:t>l.</w:t>
            </w:r>
            <w:r>
              <w:rPr>
                <w:lang w:val="sk-SK"/>
              </w:rPr>
              <w:tab/>
              <w:t>Odvodiť aproximácie a tým určiť stredné hodnoty a rozptyly popísané v bode (a) c. pomocou tých v bode (a) b.</w:t>
            </w:r>
          </w:p>
          <w:p w:rsidR="001D6D3D" w:rsidRPr="00E66436" w:rsidRDefault="001D6D3D">
            <w:pPr>
              <w:spacing w:after="0" w:line="240" w:lineRule="auto"/>
              <w:rPr>
                <w:b/>
                <w:lang w:val="sk-SK"/>
              </w:rPr>
            </w:pPr>
          </w:p>
          <w:p w:rsidR="00D44592" w:rsidRDefault="00ED2B13">
            <w:pPr>
              <w:pStyle w:val="ListParagraph1"/>
              <w:numPr>
                <w:ilvl w:val="0"/>
                <w:numId w:val="3"/>
              </w:numPr>
              <w:spacing w:after="0" w:line="240" w:lineRule="auto"/>
              <w:rPr>
                <w:lang w:val="sk-SK"/>
              </w:rPr>
            </w:pPr>
            <w:r w:rsidRPr="00ED2B13">
              <w:rPr>
                <w:lang w:val="sk-SK"/>
              </w:rPr>
              <w:t>Oceňovanie poistných produktov</w:t>
            </w:r>
          </w:p>
          <w:p w:rsidR="00D44592" w:rsidRDefault="00036438">
            <w:pPr>
              <w:pStyle w:val="ListParagraph1"/>
              <w:numPr>
                <w:ilvl w:val="1"/>
                <w:numId w:val="3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Uviesť a aplikovať základné postupy pri oceňovaní dlhodobého poistenia</w:t>
            </w:r>
          </w:p>
          <w:p w:rsidR="00417871" w:rsidRDefault="00417871">
            <w:pPr>
              <w:pStyle w:val="ListParagraph1"/>
              <w:numPr>
                <w:ilvl w:val="2"/>
                <w:numId w:val="3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 xml:space="preserve">Definovať náhodnú </w:t>
            </w:r>
            <w:r w:rsidR="004376D2">
              <w:rPr>
                <w:lang w:val="sk-SK"/>
              </w:rPr>
              <w:t xml:space="preserve">premennú straty poisťovne z </w:t>
            </w:r>
            <w:r>
              <w:rPr>
                <w:lang w:val="sk-SK"/>
              </w:rPr>
              <w:t xml:space="preserve">poistnej </w:t>
            </w:r>
            <w:r w:rsidR="004376D2">
              <w:rPr>
                <w:lang w:val="sk-SK"/>
              </w:rPr>
              <w:t>zmluvy</w:t>
            </w:r>
            <w:r>
              <w:rPr>
                <w:lang w:val="sk-SK"/>
              </w:rPr>
              <w:t xml:space="preserve"> a princíp ekvivalencie.</w:t>
            </w:r>
          </w:p>
          <w:p w:rsidR="00ED2B13" w:rsidRDefault="00417871">
            <w:pPr>
              <w:pStyle w:val="ListParagraph1"/>
              <w:numPr>
                <w:ilvl w:val="2"/>
                <w:numId w:val="3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Definovať a určiť netto poistné pre zmluvy popísané v bode (</w:t>
            </w:r>
            <w:r w:rsidR="004376D2">
              <w:rPr>
                <w:lang w:val="sk-SK"/>
              </w:rPr>
              <w:t>a</w:t>
            </w:r>
            <w:r>
              <w:rPr>
                <w:lang w:val="sk-SK"/>
              </w:rPr>
              <w:t xml:space="preserve">) a. aj za predpokladu, že poistné a dôchodky môžu byť splatné ročne, </w:t>
            </w:r>
            <w:r w:rsidR="004376D2">
              <w:rPr>
                <w:lang w:val="sk-SK"/>
              </w:rPr>
              <w:t>častejšie ako</w:t>
            </w:r>
            <w:r>
              <w:rPr>
                <w:lang w:val="sk-SK"/>
              </w:rPr>
              <w:t xml:space="preserve"> ročne alebo spojito. Poistné plnenia môžu byť splatné na konci roka úmrtia, </w:t>
            </w:r>
            <w:r w:rsidR="004376D2">
              <w:rPr>
                <w:lang w:val="sk-SK"/>
              </w:rPr>
              <w:t>bezprostredne po úmrtí, častejšie ako</w:t>
            </w:r>
            <w:r>
              <w:rPr>
                <w:lang w:val="sk-SK"/>
              </w:rPr>
              <w:t xml:space="preserve"> ročne alebo </w:t>
            </w:r>
            <w:r w:rsidR="004376D2">
              <w:rPr>
                <w:lang w:val="sk-SK"/>
              </w:rPr>
              <w:t>spojito</w:t>
            </w:r>
            <w:r>
              <w:rPr>
                <w:lang w:val="sk-SK"/>
              </w:rPr>
              <w:t>.</w:t>
            </w:r>
          </w:p>
          <w:p w:rsidR="000864CF" w:rsidRDefault="000864CF">
            <w:pPr>
              <w:pStyle w:val="ListParagraph1"/>
              <w:numPr>
                <w:ilvl w:val="2"/>
                <w:numId w:val="3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Vymenovať druhy nákladov</w:t>
            </w:r>
            <w:r w:rsidR="004376D2">
              <w:rPr>
                <w:lang w:val="sk-SK"/>
              </w:rPr>
              <w:t>,</w:t>
            </w:r>
            <w:r>
              <w:rPr>
                <w:lang w:val="sk-SK"/>
              </w:rPr>
              <w:t xml:space="preserve"> ktoré poisťovňa má v súvislosti s podpisom </w:t>
            </w:r>
            <w:r w:rsidR="004376D2">
              <w:rPr>
                <w:lang w:val="sk-SK"/>
              </w:rPr>
              <w:t xml:space="preserve">a spravovaním </w:t>
            </w:r>
            <w:r>
              <w:rPr>
                <w:lang w:val="sk-SK"/>
              </w:rPr>
              <w:t>poistnej zmluvy.</w:t>
            </w:r>
          </w:p>
          <w:p w:rsidR="000864CF" w:rsidRDefault="000864CF">
            <w:pPr>
              <w:pStyle w:val="ListParagraph1"/>
              <w:numPr>
                <w:ilvl w:val="2"/>
                <w:numId w:val="3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Popísať vp</w:t>
            </w:r>
            <w:r w:rsidR="00036438">
              <w:rPr>
                <w:lang w:val="sk-SK"/>
              </w:rPr>
              <w:t>lyv inflácie na náklady v bode iii</w:t>
            </w:r>
            <w:r>
              <w:rPr>
                <w:lang w:val="sk-SK"/>
              </w:rPr>
              <w:t>.</w:t>
            </w:r>
          </w:p>
          <w:p w:rsidR="000864CF" w:rsidRPr="000864CF" w:rsidRDefault="000864CF">
            <w:pPr>
              <w:pStyle w:val="ListParagraph1"/>
              <w:numPr>
                <w:ilvl w:val="2"/>
                <w:numId w:val="3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 xml:space="preserve">Definovať náhodnú </w:t>
            </w:r>
            <w:r w:rsidR="004376D2">
              <w:rPr>
                <w:lang w:val="sk-SK"/>
              </w:rPr>
              <w:t>premennú straty poisťovne z</w:t>
            </w:r>
            <w:r>
              <w:rPr>
                <w:lang w:val="sk-SK"/>
              </w:rPr>
              <w:t xml:space="preserve"> poistnej </w:t>
            </w:r>
            <w:r w:rsidR="004376D2">
              <w:rPr>
                <w:lang w:val="sk-SK"/>
              </w:rPr>
              <w:t>zmluvy aj so zohľadnením nákladov uvedených v bode iii</w:t>
            </w:r>
            <w:r>
              <w:rPr>
                <w:lang w:val="sk-SK"/>
              </w:rPr>
              <w:t>.</w:t>
            </w:r>
          </w:p>
          <w:p w:rsidR="000864CF" w:rsidRDefault="000864CF">
            <w:pPr>
              <w:pStyle w:val="ListParagraph1"/>
              <w:numPr>
                <w:ilvl w:val="2"/>
                <w:numId w:val="3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Definovať a určiť brutto poistné pre zmluvy popísané v bode (</w:t>
            </w:r>
            <w:r w:rsidR="004376D2">
              <w:rPr>
                <w:lang w:val="sk-SK"/>
              </w:rPr>
              <w:t>a</w:t>
            </w:r>
            <w:r>
              <w:rPr>
                <w:lang w:val="sk-SK"/>
              </w:rPr>
              <w:t xml:space="preserve">) a. aj za predpokladu, že poistné a dôchodky môžu byť splatné ročne, častejšie ako ročne alebo spojito. Poistné plnenia môžu byť splatné na konci roka úmrtia, </w:t>
            </w:r>
            <w:r w:rsidR="004376D2">
              <w:rPr>
                <w:lang w:val="sk-SK"/>
              </w:rPr>
              <w:t>bezprostredne po úmrtí</w:t>
            </w:r>
            <w:r>
              <w:rPr>
                <w:lang w:val="sk-SK"/>
              </w:rPr>
              <w:t>, častejšie ako ročne alebo spojito.</w:t>
            </w:r>
          </w:p>
          <w:p w:rsidR="004376D2" w:rsidRDefault="004376D2">
            <w:pPr>
              <w:pStyle w:val="ListParagraph1"/>
              <w:numPr>
                <w:ilvl w:val="2"/>
                <w:numId w:val="3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Ukázať ako sa dá použiť testovanie zisku na oceňovanie produktu životného poistenia. Uviesť kritériá ziskovosti.</w:t>
            </w:r>
          </w:p>
          <w:p w:rsidR="00D44592" w:rsidRDefault="00036438">
            <w:pPr>
              <w:pStyle w:val="Odsekzoznamu1"/>
              <w:numPr>
                <w:ilvl w:val="1"/>
                <w:numId w:val="3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Uviesť a aplikovať základné postupy pri oceňovaní krátkodobého poistenia</w:t>
            </w:r>
          </w:p>
          <w:p w:rsidR="00834ECA" w:rsidRDefault="00834ECA" w:rsidP="00495438">
            <w:pPr>
              <w:pStyle w:val="Odsekzoznamu1"/>
              <w:numPr>
                <w:ilvl w:val="2"/>
                <w:numId w:val="3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Skonštruovať modely vhodné pre krátkodobé poistné zmluvy zahrňujúce počty poistných plnení a </w:t>
            </w:r>
            <w:r w:rsidR="00495438">
              <w:rPr>
                <w:lang w:val="sk-SK"/>
              </w:rPr>
              <w:t>výšky</w:t>
            </w:r>
            <w:r>
              <w:rPr>
                <w:lang w:val="sk-SK"/>
              </w:rPr>
              <w:t xml:space="preserve"> jednotlivých plnení</w:t>
            </w:r>
            <w:r w:rsidR="00036438">
              <w:rPr>
                <w:lang w:val="sk-SK"/>
              </w:rPr>
              <w:t xml:space="preserve"> – kolektívny a individuálny model rizika</w:t>
            </w:r>
            <w:r>
              <w:rPr>
                <w:lang w:val="sk-SK"/>
              </w:rPr>
              <w:t>.</w:t>
            </w:r>
          </w:p>
          <w:p w:rsidR="00834ECA" w:rsidRDefault="00495438" w:rsidP="00495438">
            <w:pPr>
              <w:pStyle w:val="Odsekzoznamu1"/>
              <w:numPr>
                <w:ilvl w:val="2"/>
                <w:numId w:val="3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O</w:t>
            </w:r>
            <w:r w:rsidRPr="004628BF">
              <w:rPr>
                <w:lang w:val="sk-SK"/>
              </w:rPr>
              <w:t>písať</w:t>
            </w:r>
            <w:r w:rsidR="00834ECA">
              <w:rPr>
                <w:lang w:val="sk-SK"/>
              </w:rPr>
              <w:t xml:space="preserve"> významné zjednodušenia, ktoré </w:t>
            </w:r>
            <w:r>
              <w:rPr>
                <w:lang w:val="sk-SK"/>
              </w:rPr>
              <w:t>uvedené</w:t>
            </w:r>
            <w:r w:rsidR="00834ECA">
              <w:rPr>
                <w:lang w:val="sk-SK"/>
              </w:rPr>
              <w:t xml:space="preserve"> modely </w:t>
            </w:r>
            <w:r>
              <w:rPr>
                <w:lang w:val="sk-SK"/>
              </w:rPr>
              <w:t xml:space="preserve"> prezentujú</w:t>
            </w:r>
            <w:r w:rsidR="00834ECA" w:rsidRPr="00834ECA">
              <w:rPr>
                <w:lang w:val="sk-SK"/>
              </w:rPr>
              <w:t>.</w:t>
            </w:r>
          </w:p>
          <w:p w:rsidR="00834ECA" w:rsidRPr="00834ECA" w:rsidRDefault="00834ECA" w:rsidP="00495438">
            <w:pPr>
              <w:pStyle w:val="Odsekzoznamu1"/>
              <w:numPr>
                <w:ilvl w:val="2"/>
                <w:numId w:val="3"/>
              </w:numPr>
              <w:spacing w:after="0" w:line="240" w:lineRule="auto"/>
              <w:rPr>
                <w:lang w:val="sk-SK"/>
              </w:rPr>
            </w:pPr>
            <w:r w:rsidRPr="00834ECA">
              <w:rPr>
                <w:lang w:val="sk-SK"/>
              </w:rPr>
              <w:t xml:space="preserve">Odvodiť momentovú </w:t>
            </w:r>
            <w:r w:rsidR="00495438">
              <w:rPr>
                <w:lang w:val="sk-SK"/>
              </w:rPr>
              <w:t xml:space="preserve">vytvárajúcu </w:t>
            </w:r>
            <w:r w:rsidRPr="00834ECA">
              <w:rPr>
                <w:lang w:val="sk-SK"/>
              </w:rPr>
              <w:t xml:space="preserve"> funkciu súčtu N nezávislých </w:t>
            </w:r>
            <w:r w:rsidR="00495438">
              <w:rPr>
                <w:lang w:val="sk-SK"/>
              </w:rPr>
              <w:t xml:space="preserve"> identicky rozdelených </w:t>
            </w:r>
            <w:r w:rsidRPr="00834ECA">
              <w:rPr>
                <w:lang w:val="sk-SK"/>
              </w:rPr>
              <w:t>náhodných premenných</w:t>
            </w:r>
            <w:r w:rsidR="00495438">
              <w:rPr>
                <w:lang w:val="sk-SK"/>
              </w:rPr>
              <w:t xml:space="preserve">,  s dôrazom  kedy </w:t>
            </w:r>
            <w:r w:rsidRPr="00834ECA">
              <w:rPr>
                <w:lang w:val="sk-SK"/>
              </w:rPr>
              <w:t xml:space="preserve"> N má binomické, Poissonovo, a negatívne binomické rozdelenie</w:t>
            </w:r>
            <w:r w:rsidR="00495438" w:rsidRPr="004628BF">
              <w:rPr>
                <w:lang w:val="sk-SK"/>
              </w:rPr>
              <w:t>.</w:t>
            </w:r>
          </w:p>
          <w:p w:rsidR="00834ECA" w:rsidRPr="00834ECA" w:rsidRDefault="00834ECA" w:rsidP="00495438">
            <w:pPr>
              <w:pStyle w:val="Odsekzoznamu1"/>
              <w:numPr>
                <w:ilvl w:val="2"/>
                <w:numId w:val="3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 xml:space="preserve">Definovať zložené Poissonovo rozdelenie a ukázať, že suma nezávislých náhodných premenných so zloženým Poissonovym rozdelením má tiež zložené Poissonovo rozdelenie. </w:t>
            </w:r>
          </w:p>
          <w:p w:rsidR="00834ECA" w:rsidRPr="00503BF7" w:rsidRDefault="00834ECA" w:rsidP="00495438">
            <w:pPr>
              <w:pStyle w:val="Odsekzoznamu1"/>
              <w:numPr>
                <w:ilvl w:val="2"/>
                <w:numId w:val="3"/>
              </w:numPr>
              <w:spacing w:after="0" w:line="240" w:lineRule="auto"/>
              <w:rPr>
                <w:lang w:val="sk-SK"/>
              </w:rPr>
            </w:pPr>
            <w:r w:rsidRPr="00503BF7">
              <w:rPr>
                <w:lang w:val="sk-SK"/>
              </w:rPr>
              <w:t>Odvodiť strednú hodnotu, rozptyl a koeficient šikmosti zložených Poissonovych, zložených binomických a zložených negatívne binomických náhodných premenných.</w:t>
            </w:r>
          </w:p>
          <w:p w:rsidR="00834ECA" w:rsidRPr="00834ECA" w:rsidRDefault="00503BF7" w:rsidP="00495438">
            <w:pPr>
              <w:pStyle w:val="Odsekzoznamu1"/>
              <w:numPr>
                <w:ilvl w:val="2"/>
                <w:numId w:val="3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 xml:space="preserve">Odvodiť momentové </w:t>
            </w:r>
            <w:r w:rsidR="00495438">
              <w:rPr>
                <w:lang w:val="sk-SK"/>
              </w:rPr>
              <w:t xml:space="preserve">vyvárajúce </w:t>
            </w:r>
            <w:r>
              <w:rPr>
                <w:lang w:val="sk-SK"/>
              </w:rPr>
              <w:t xml:space="preserve"> funkcie a momenty agregovaných poistných plnení za určité obdobie pre modely opísané v bode </w:t>
            </w:r>
            <w:r w:rsidR="00495438" w:rsidRPr="00C91402">
              <w:rPr>
                <w:lang w:val="sk-SK"/>
              </w:rPr>
              <w:t>i</w:t>
            </w:r>
            <w:r>
              <w:rPr>
                <w:lang w:val="sk-SK"/>
              </w:rPr>
              <w:t>.</w:t>
            </w:r>
            <w:r w:rsidRPr="008F545E">
              <w:rPr>
                <w:color w:val="00B050"/>
                <w:lang w:val="sk-SK"/>
              </w:rPr>
              <w:t xml:space="preserve"> </w:t>
            </w:r>
            <w:r>
              <w:rPr>
                <w:lang w:val="sk-SK"/>
              </w:rPr>
              <w:t>pomocou zodpovedajúcich funkcií rozdelenia počtu poistných udalostí a veľkosti jednotlivých plnení, za uvedenia matematických predpokladov týchto vzorcov.</w:t>
            </w:r>
          </w:p>
          <w:p w:rsidR="00834ECA" w:rsidRPr="00503BF7" w:rsidRDefault="00503BF7" w:rsidP="00495438">
            <w:pPr>
              <w:pStyle w:val="Odsekzoznamu1"/>
              <w:numPr>
                <w:ilvl w:val="2"/>
                <w:numId w:val="3"/>
              </w:numPr>
              <w:spacing w:after="0" w:line="240" w:lineRule="auto"/>
              <w:rPr>
                <w:lang w:val="sk-SK"/>
              </w:rPr>
            </w:pPr>
            <w:r w:rsidRPr="00503BF7">
              <w:rPr>
                <w:lang w:val="sk-SK"/>
              </w:rPr>
              <w:t>Zopakovať bod k. pre poisťovateľa aj zaisťovateľa za predpokladu jednoduchých foriem proporcionálneho</w:t>
            </w:r>
            <w:r w:rsidR="00036438">
              <w:rPr>
                <w:lang w:val="sk-SK"/>
              </w:rPr>
              <w:t xml:space="preserve"> zaistenia a </w:t>
            </w:r>
            <w:r w:rsidR="00E0004A" w:rsidRPr="004D5FA8">
              <w:rPr>
                <w:lang w:val="sk-SK"/>
              </w:rPr>
              <w:t>zaistenia škodového nadmerku</w:t>
            </w:r>
            <w:r w:rsidR="00036438">
              <w:rPr>
                <w:lang w:val="sk-SK"/>
              </w:rPr>
              <w:t xml:space="preserve"> (</w:t>
            </w:r>
            <w:r w:rsidRPr="00391CA5">
              <w:rPr>
                <w:lang w:val="sk-SK"/>
              </w:rPr>
              <w:t>exces</w:t>
            </w:r>
            <w:r w:rsidR="00036438" w:rsidRPr="00391CA5">
              <w:rPr>
                <w:lang w:val="sk-SK"/>
              </w:rPr>
              <w:t>s</w:t>
            </w:r>
            <w:r w:rsidRPr="00391CA5">
              <w:rPr>
                <w:lang w:val="sk-SK"/>
              </w:rPr>
              <w:t xml:space="preserve"> of loss</w:t>
            </w:r>
            <w:r w:rsidR="004D5FA8">
              <w:rPr>
                <w:lang w:val="sk-SK"/>
              </w:rPr>
              <w:t xml:space="preserve"> reinsurance</w:t>
            </w:r>
            <w:r w:rsidR="00036438">
              <w:rPr>
                <w:lang w:val="sk-SK"/>
              </w:rPr>
              <w:t>)</w:t>
            </w:r>
            <w:r w:rsidR="00834ECA" w:rsidRPr="00503BF7">
              <w:rPr>
                <w:lang w:val="sk-SK"/>
              </w:rPr>
              <w:t>.</w:t>
            </w:r>
          </w:p>
          <w:p w:rsidR="00417871" w:rsidRPr="00ED2B13" w:rsidRDefault="00F455F2" w:rsidP="00495438">
            <w:pPr>
              <w:pStyle w:val="ListParagraph1"/>
              <w:numPr>
                <w:ilvl w:val="2"/>
                <w:numId w:val="3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Ukázať</w:t>
            </w:r>
            <w:r w:rsidR="00F72661">
              <w:rPr>
                <w:lang w:val="sk-SK"/>
              </w:rPr>
              <w:t xml:space="preserve"> ako </w:t>
            </w:r>
            <w:r w:rsidR="00055C43">
              <w:rPr>
                <w:lang w:val="sk-SK"/>
              </w:rPr>
              <w:t>sa dá použiť testovanie zisku na oceňovanie produktu.</w:t>
            </w:r>
            <w:r w:rsidR="00417871">
              <w:rPr>
                <w:lang w:val="sk-SK"/>
              </w:rPr>
              <w:br/>
            </w:r>
          </w:p>
          <w:p w:rsidR="001D6D3D" w:rsidRDefault="001D6D3D" w:rsidP="00502705">
            <w:pPr>
              <w:pStyle w:val="ListParagraph"/>
              <w:numPr>
                <w:ilvl w:val="0"/>
                <w:numId w:val="3"/>
              </w:numPr>
              <w:rPr>
                <w:lang w:val="sk-SK"/>
              </w:rPr>
            </w:pPr>
            <w:r w:rsidRPr="00ED2B13">
              <w:rPr>
                <w:lang w:val="sk-SK"/>
              </w:rPr>
              <w:lastRenderedPageBreak/>
              <w:t>Metódy výpočtu rezerv</w:t>
            </w:r>
            <w:r w:rsidR="004376D2">
              <w:rPr>
                <w:lang w:val="sk-SK"/>
              </w:rPr>
              <w:t xml:space="preserve"> </w:t>
            </w:r>
          </w:p>
          <w:p w:rsidR="00D44592" w:rsidRPr="009871A7" w:rsidRDefault="001D6D3D">
            <w:pPr>
              <w:pStyle w:val="ListParagraph1"/>
              <w:numPr>
                <w:ilvl w:val="1"/>
                <w:numId w:val="2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Uviesť dôvody prečo poisťovňa tvorí rezervy.</w:t>
            </w:r>
          </w:p>
          <w:p w:rsidR="00D44592" w:rsidRPr="009871A7" w:rsidRDefault="001D6D3D">
            <w:pPr>
              <w:pStyle w:val="ListParagraph1"/>
              <w:numPr>
                <w:ilvl w:val="1"/>
                <w:numId w:val="2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Popísať prospektívnu a retrospektívnu rezervu.</w:t>
            </w:r>
          </w:p>
          <w:p w:rsidR="001D6D3D" w:rsidRDefault="001D6D3D" w:rsidP="006D5122">
            <w:pPr>
              <w:pStyle w:val="ListParagraph1"/>
              <w:numPr>
                <w:ilvl w:val="1"/>
                <w:numId w:val="2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Definovať a určiť prospektívnu a retrospektívnu netto rezervu pre kontrakty popísané v bode (a</w:t>
            </w:r>
            <w:r w:rsidR="004376D2">
              <w:rPr>
                <w:lang w:val="sk-SK"/>
              </w:rPr>
              <w:t>) a</w:t>
            </w:r>
            <w:r>
              <w:rPr>
                <w:lang w:val="sk-SK"/>
              </w:rPr>
              <w:t xml:space="preserve">. s poistným určeným podľa bodu (b) </w:t>
            </w:r>
            <w:r w:rsidR="004376D2">
              <w:rPr>
                <w:lang w:val="sk-SK"/>
              </w:rPr>
              <w:t>a</w:t>
            </w:r>
            <w:r>
              <w:rPr>
                <w:lang w:val="sk-SK"/>
              </w:rPr>
              <w:t>.</w:t>
            </w:r>
          </w:p>
          <w:p w:rsidR="001D6D3D" w:rsidRDefault="001D6D3D">
            <w:pPr>
              <w:pStyle w:val="ListParagraph1"/>
              <w:numPr>
                <w:ilvl w:val="1"/>
                <w:numId w:val="2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Definovať a určiť prospektívnu a retrospektívnu brutto rezervu pre kontrakty popísané v bode (</w:t>
            </w:r>
            <w:r w:rsidR="004376D2">
              <w:rPr>
                <w:lang w:val="sk-SK"/>
              </w:rPr>
              <w:t>a</w:t>
            </w:r>
            <w:r>
              <w:rPr>
                <w:lang w:val="sk-SK"/>
              </w:rPr>
              <w:t>) a</w:t>
            </w:r>
            <w:r w:rsidR="004376D2">
              <w:rPr>
                <w:lang w:val="sk-SK"/>
              </w:rPr>
              <w:t>. s poistným určeným podľa bodu (b) a.</w:t>
            </w:r>
          </w:p>
          <w:p w:rsidR="001D6D3D" w:rsidRDefault="001D6D3D">
            <w:pPr>
              <w:pStyle w:val="ListParagraph1"/>
              <w:numPr>
                <w:ilvl w:val="1"/>
                <w:numId w:val="2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Určiť všeobecné podmienky</w:t>
            </w:r>
            <w:r w:rsidR="004376D2">
              <w:rPr>
                <w:lang w:val="sk-SK"/>
              </w:rPr>
              <w:t>,</w:t>
            </w:r>
            <w:r>
              <w:rPr>
                <w:lang w:val="sk-SK"/>
              </w:rPr>
              <w:t xml:space="preserve"> pri ktorých sú prospektívna a retrospektívna </w:t>
            </w:r>
            <w:r w:rsidR="004376D2">
              <w:rPr>
                <w:lang w:val="sk-SK"/>
              </w:rPr>
              <w:t xml:space="preserve">netto resp. brutto </w:t>
            </w:r>
            <w:r>
              <w:rPr>
                <w:lang w:val="sk-SK"/>
              </w:rPr>
              <w:t xml:space="preserve">rezerva </w:t>
            </w:r>
            <w:r w:rsidR="004376D2">
              <w:rPr>
                <w:lang w:val="sk-SK"/>
              </w:rPr>
              <w:t>rovnaké</w:t>
            </w:r>
            <w:r>
              <w:rPr>
                <w:lang w:val="sk-SK"/>
              </w:rPr>
              <w:t>.</w:t>
            </w:r>
          </w:p>
          <w:p w:rsidR="00D44592" w:rsidRPr="009871A7" w:rsidRDefault="001D6D3D">
            <w:pPr>
              <w:pStyle w:val="ListParagraph1"/>
              <w:numPr>
                <w:ilvl w:val="1"/>
                <w:numId w:val="2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Odvodiť rekurentný vzorec pre rezervy (s aj bez prihliadnutia na náklady).</w:t>
            </w:r>
          </w:p>
          <w:p w:rsidR="00D44592" w:rsidRPr="009871A7" w:rsidRDefault="001D6D3D">
            <w:pPr>
              <w:pStyle w:val="ListParagraph1"/>
              <w:numPr>
                <w:ilvl w:val="1"/>
                <w:numId w:val="2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Definovať a určiť pre poistku alebo portfólio poistiek:</w:t>
            </w:r>
          </w:p>
          <w:p w:rsidR="001D6D3D" w:rsidRPr="00391CA5" w:rsidRDefault="004376D2">
            <w:pPr>
              <w:pStyle w:val="ListParagraph1"/>
              <w:numPr>
                <w:ilvl w:val="2"/>
                <w:numId w:val="2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Strata z úmrtnosti</w:t>
            </w:r>
            <w:r w:rsidR="001D6D3D" w:rsidRPr="00391CA5">
              <w:rPr>
                <w:lang w:val="sk-SK"/>
              </w:rPr>
              <w:t xml:space="preserve"> v riziku (Death strain at risk)</w:t>
            </w:r>
          </w:p>
          <w:p w:rsidR="00D44592" w:rsidRPr="009871A7" w:rsidRDefault="001D6D3D">
            <w:pPr>
              <w:pStyle w:val="ListParagraph1"/>
              <w:numPr>
                <w:ilvl w:val="2"/>
                <w:numId w:val="2"/>
              </w:numPr>
              <w:spacing w:after="0" w:line="240" w:lineRule="auto"/>
              <w:rPr>
                <w:lang w:val="sk-SK"/>
              </w:rPr>
            </w:pPr>
            <w:r w:rsidRPr="00391CA5">
              <w:rPr>
                <w:lang w:val="sk-SK"/>
              </w:rPr>
              <w:t>Očakávaná strata z </w:t>
            </w:r>
            <w:r w:rsidR="002D13CA" w:rsidRPr="00391CA5">
              <w:rPr>
                <w:lang w:val="sk-SK"/>
              </w:rPr>
              <w:t>úmrtnosti</w:t>
            </w:r>
            <w:r w:rsidRPr="00391CA5">
              <w:rPr>
                <w:lang w:val="sk-SK"/>
              </w:rPr>
              <w:t xml:space="preserve"> (Expected death strain)</w:t>
            </w:r>
          </w:p>
          <w:p w:rsidR="00D44592" w:rsidRPr="009871A7" w:rsidRDefault="001D6D3D">
            <w:pPr>
              <w:pStyle w:val="ListParagraph1"/>
              <w:numPr>
                <w:ilvl w:val="2"/>
                <w:numId w:val="2"/>
              </w:numPr>
              <w:spacing w:after="0" w:line="240" w:lineRule="auto"/>
              <w:rPr>
                <w:lang w:val="sk-SK"/>
              </w:rPr>
            </w:pPr>
            <w:r w:rsidRPr="00391CA5">
              <w:rPr>
                <w:lang w:val="sk-SK"/>
              </w:rPr>
              <w:t>Skutočná strata z </w:t>
            </w:r>
            <w:r w:rsidR="002D13CA" w:rsidRPr="00391CA5">
              <w:rPr>
                <w:lang w:val="sk-SK"/>
              </w:rPr>
              <w:t>úmrtnosti</w:t>
            </w:r>
            <w:r w:rsidRPr="00391CA5">
              <w:rPr>
                <w:lang w:val="sk-SK"/>
              </w:rPr>
              <w:t xml:space="preserve"> (Actual death strain)</w:t>
            </w:r>
          </w:p>
          <w:p w:rsidR="00D44592" w:rsidRPr="009871A7" w:rsidRDefault="001D6D3D">
            <w:pPr>
              <w:pStyle w:val="ListParagraph1"/>
              <w:numPr>
                <w:ilvl w:val="2"/>
                <w:numId w:val="2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Zisk z </w:t>
            </w:r>
            <w:r w:rsidR="002D13CA" w:rsidRPr="00391CA5">
              <w:rPr>
                <w:lang w:val="sk-SK"/>
              </w:rPr>
              <w:t>úmrtnosti</w:t>
            </w:r>
          </w:p>
          <w:p w:rsidR="001D6D3D" w:rsidRPr="00391CA5" w:rsidRDefault="001D6D3D" w:rsidP="00FC7D9F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391CA5">
              <w:rPr>
                <w:lang w:val="sk-SK"/>
              </w:rPr>
              <w:t xml:space="preserve">Popísať základné metódy na určenie rezerv v neživotnom poistení, ako napríklad reťazovo-rebríkovú </w:t>
            </w:r>
            <w:r w:rsidR="002D13CA" w:rsidRPr="00391CA5">
              <w:rPr>
                <w:lang w:val="sk-SK"/>
              </w:rPr>
              <w:t>metó</w:t>
            </w:r>
            <w:r w:rsidRPr="00391CA5">
              <w:rPr>
                <w:lang w:val="sk-SK"/>
              </w:rPr>
              <w:t>du</w:t>
            </w:r>
            <w:r w:rsidR="002D13CA" w:rsidRPr="00391CA5">
              <w:rPr>
                <w:lang w:val="sk-SK"/>
              </w:rPr>
              <w:t xml:space="preserve"> (chain ladder metódu)</w:t>
            </w:r>
            <w:r w:rsidRPr="00391CA5">
              <w:rPr>
                <w:lang w:val="sk-SK"/>
              </w:rPr>
              <w:t xml:space="preserve"> a separačnú metódu.</w:t>
            </w:r>
          </w:p>
          <w:p w:rsidR="001D6D3D" w:rsidRDefault="001D6D3D">
            <w:pPr>
              <w:pStyle w:val="ListParagraph1"/>
              <w:numPr>
                <w:ilvl w:val="1"/>
                <w:numId w:val="2"/>
              </w:numPr>
              <w:spacing w:after="0" w:line="240" w:lineRule="auto"/>
              <w:rPr>
                <w:lang w:val="sk-SK"/>
              </w:rPr>
            </w:pPr>
            <w:r w:rsidRPr="00DA65F3">
              <w:rPr>
                <w:lang w:val="sk-SK"/>
              </w:rPr>
              <w:t>Definovať a určiť vývojový faktor a ukázať ako sa dá sústava odvodených vývojových faktorov použiť na projekciu budúceho vývoja trojuholníkovej schémy.</w:t>
            </w:r>
          </w:p>
          <w:p w:rsidR="001D6D3D" w:rsidRDefault="001D6D3D">
            <w:pPr>
              <w:pStyle w:val="ListParagraph1"/>
              <w:numPr>
                <w:ilvl w:val="1"/>
                <w:numId w:val="2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 xml:space="preserve">Popísať a aplikovať základnú reťazovo-rebríkovú metódu na odhadnutie vývoja </w:t>
            </w:r>
            <w:r w:rsidR="00495438" w:rsidRPr="00495438">
              <w:rPr>
                <w:lang w:val="sk-SK"/>
              </w:rPr>
              <w:t>rezerv na poistné plnenia</w:t>
            </w:r>
            <w:r>
              <w:rPr>
                <w:lang w:val="sk-SK"/>
              </w:rPr>
              <w:t>.</w:t>
            </w:r>
          </w:p>
          <w:p w:rsidR="00424E10" w:rsidRPr="00FC7D9F" w:rsidRDefault="001D6D3D" w:rsidP="00FC7D9F">
            <w:pPr>
              <w:pStyle w:val="ListParagraph1"/>
              <w:numPr>
                <w:ilvl w:val="1"/>
                <w:numId w:val="2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Ukázať ako sa základná reťazovo-rebríková metóda dá upraviť o infláciu.</w:t>
            </w:r>
            <w:r>
              <w:rPr>
                <w:lang w:val="sk-SK"/>
              </w:rPr>
              <w:br/>
            </w:r>
          </w:p>
          <w:p w:rsidR="00D44592" w:rsidRDefault="00ED2B13" w:rsidP="009871A7">
            <w:pPr>
              <w:pStyle w:val="ListParagraph"/>
              <w:numPr>
                <w:ilvl w:val="0"/>
                <w:numId w:val="3"/>
              </w:numPr>
              <w:rPr>
                <w:b/>
                <w:bCs/>
                <w:color w:val="365F91" w:themeColor="accent1" w:themeShade="BF"/>
                <w:sz w:val="28"/>
                <w:szCs w:val="28"/>
                <w:lang w:val="sk-SK"/>
              </w:rPr>
            </w:pPr>
            <w:r w:rsidRPr="00ED2B13">
              <w:rPr>
                <w:lang w:val="sk-SK"/>
              </w:rPr>
              <w:t>Analýza technického výsledku (analýza zdrojov zisku, variačná analýza)</w:t>
            </w:r>
          </w:p>
          <w:p w:rsidR="00D44592" w:rsidRPr="009871A7" w:rsidRDefault="00036438" w:rsidP="009871A7">
            <w:pPr>
              <w:pStyle w:val="ListParagraph1"/>
              <w:numPr>
                <w:ilvl w:val="0"/>
                <w:numId w:val="6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 xml:space="preserve">Popísať a aplikovať základné metódy analýzy </w:t>
            </w:r>
            <w:r w:rsidR="005F66A9">
              <w:rPr>
                <w:lang w:val="sk-SK"/>
              </w:rPr>
              <w:t>zdrojov zisku.</w:t>
            </w:r>
          </w:p>
          <w:p w:rsidR="00D44592" w:rsidRPr="009871A7" w:rsidRDefault="005F66A9" w:rsidP="009871A7">
            <w:pPr>
              <w:pStyle w:val="ListParagraph1"/>
              <w:numPr>
                <w:ilvl w:val="0"/>
                <w:numId w:val="6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Popísať vplyv vyššej a nižšej úrovne rôznych predpokladov oproti očakávaniu na základné typy poistiek popísaných v (a</w:t>
            </w:r>
            <w:r w:rsidR="004376D2">
              <w:rPr>
                <w:lang w:val="sk-SK"/>
              </w:rPr>
              <w:t>) a.,</w:t>
            </w:r>
            <w:r>
              <w:rPr>
                <w:lang w:val="sk-SK"/>
              </w:rPr>
              <w:t xml:space="preserve"> a to najmä vplyv:</w:t>
            </w:r>
          </w:p>
          <w:p w:rsidR="00D44592" w:rsidRPr="009871A7" w:rsidRDefault="002D13CA" w:rsidP="009871A7">
            <w:pPr>
              <w:pStyle w:val="ListParagraph1"/>
              <w:numPr>
                <w:ilvl w:val="2"/>
                <w:numId w:val="2"/>
              </w:numPr>
              <w:spacing w:after="0" w:line="240" w:lineRule="auto"/>
              <w:rPr>
                <w:lang w:val="sk-SK"/>
              </w:rPr>
            </w:pPr>
            <w:r w:rsidRPr="00391CA5">
              <w:rPr>
                <w:lang w:val="sk-SK"/>
              </w:rPr>
              <w:t>Úmrtnosti</w:t>
            </w:r>
          </w:p>
          <w:p w:rsidR="00D44592" w:rsidRPr="009871A7" w:rsidRDefault="005F66A9" w:rsidP="009871A7">
            <w:pPr>
              <w:pStyle w:val="ListParagraph1"/>
              <w:numPr>
                <w:ilvl w:val="2"/>
                <w:numId w:val="2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Nákladov</w:t>
            </w:r>
          </w:p>
          <w:p w:rsidR="00D44592" w:rsidRPr="009871A7" w:rsidRDefault="005F66A9" w:rsidP="009871A7">
            <w:pPr>
              <w:pStyle w:val="ListParagraph1"/>
              <w:numPr>
                <w:ilvl w:val="2"/>
                <w:numId w:val="2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Investičného výnosu</w:t>
            </w:r>
          </w:p>
          <w:p w:rsidR="00D44592" w:rsidRPr="009871A7" w:rsidRDefault="005F66A9" w:rsidP="009871A7">
            <w:pPr>
              <w:pStyle w:val="ListParagraph1"/>
              <w:numPr>
                <w:ilvl w:val="2"/>
                <w:numId w:val="2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Výšky</w:t>
            </w:r>
            <w:r w:rsidRPr="005F66A9">
              <w:rPr>
                <w:lang w:val="sk-SK"/>
              </w:rPr>
              <w:t xml:space="preserve"> škody </w:t>
            </w:r>
          </w:p>
          <w:p w:rsidR="00D44592" w:rsidRPr="009871A7" w:rsidRDefault="005F66A9" w:rsidP="009871A7">
            <w:pPr>
              <w:pStyle w:val="ListParagraph1"/>
              <w:numPr>
                <w:ilvl w:val="2"/>
                <w:numId w:val="2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Škodovej frekvencie</w:t>
            </w:r>
            <w:r w:rsidRPr="005F66A9">
              <w:rPr>
                <w:lang w:val="sk-SK"/>
              </w:rPr>
              <w:br/>
            </w:r>
          </w:p>
          <w:p w:rsidR="00D44592" w:rsidRDefault="00D44592">
            <w:pPr>
              <w:pStyle w:val="ListParagraph1"/>
              <w:spacing w:after="0" w:line="240" w:lineRule="auto"/>
              <w:ind w:left="1800"/>
              <w:rPr>
                <w:lang w:val="sk-SK"/>
              </w:rPr>
            </w:pPr>
          </w:p>
        </w:tc>
      </w:tr>
      <w:tr w:rsidR="00F178FE" w:rsidRPr="002B6467">
        <w:tc>
          <w:tcPr>
            <w:tcW w:w="9576" w:type="dxa"/>
            <w:tcBorders>
              <w:top w:val="single" w:sz="6" w:space="0" w:color="D9D9D9"/>
              <w:left w:val="single" w:sz="4" w:space="0" w:color="D9D9D9"/>
              <w:bottom w:val="single" w:sz="6" w:space="0" w:color="D9D9D9"/>
              <w:right w:val="single" w:sz="4" w:space="0" w:color="D9D9D9"/>
            </w:tcBorders>
          </w:tcPr>
          <w:p w:rsidR="00F178FE" w:rsidRDefault="00E66436">
            <w:pPr>
              <w:spacing w:after="0" w:line="240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lastRenderedPageBreak/>
              <w:t>Odporúčaná literatúra:</w:t>
            </w:r>
          </w:p>
          <w:p w:rsidR="00E66436" w:rsidRPr="00E66436" w:rsidRDefault="00E66436">
            <w:pPr>
              <w:spacing w:after="0" w:line="240" w:lineRule="auto"/>
              <w:rPr>
                <w:i/>
                <w:lang w:val="sk-SK"/>
              </w:rPr>
            </w:pPr>
          </w:p>
        </w:tc>
      </w:tr>
      <w:tr w:rsidR="00F178FE" w:rsidRPr="00FE7C4F">
        <w:tc>
          <w:tcPr>
            <w:tcW w:w="9576" w:type="dxa"/>
            <w:tcBorders>
              <w:top w:val="single" w:sz="6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F178FE" w:rsidRPr="00E66436" w:rsidRDefault="00E66436">
            <w:pPr>
              <w:spacing w:after="0" w:line="240" w:lineRule="auto"/>
              <w:rPr>
                <w:b/>
                <w:lang w:val="sk-SK"/>
              </w:rPr>
            </w:pPr>
            <w:r w:rsidRPr="00E66436">
              <w:rPr>
                <w:b/>
                <w:lang w:val="sk-SK"/>
              </w:rPr>
              <w:t>Univerzitné predmety pokrývajúce sylabus:</w:t>
            </w:r>
          </w:p>
          <w:p w:rsidR="00E66436" w:rsidRPr="00E66436" w:rsidRDefault="00E66436">
            <w:pPr>
              <w:spacing w:after="0" w:line="240" w:lineRule="auto"/>
              <w:rPr>
                <w:i/>
                <w:lang w:val="sk-SK"/>
              </w:rPr>
            </w:pPr>
          </w:p>
        </w:tc>
      </w:tr>
    </w:tbl>
    <w:p w:rsidR="00CD3E2A" w:rsidRDefault="00881479" w:rsidP="007126FE">
      <w:pPr>
        <w:rPr>
          <w:rFonts w:ascii="Times New Roman" w:hAnsi="Times New Roman"/>
          <w:lang w:val="sk-SK"/>
        </w:rPr>
      </w:pPr>
    </w:p>
    <w:sectPr w:rsidR="00CD3E2A" w:rsidSect="00CC3EB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479" w:rsidRDefault="00881479" w:rsidP="00F178FE">
      <w:pPr>
        <w:spacing w:after="0" w:line="240" w:lineRule="auto"/>
      </w:pPr>
      <w:r>
        <w:separator/>
      </w:r>
    </w:p>
  </w:endnote>
  <w:endnote w:type="continuationSeparator" w:id="0">
    <w:p w:rsidR="00881479" w:rsidRDefault="00881479" w:rsidP="00F17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D9F" w:rsidRDefault="00FC7D9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8FE" w:rsidRDefault="002B6467" w:rsidP="00E66436">
    <w:pPr>
      <w:pStyle w:val="Footer"/>
      <w:jc w:val="right"/>
      <w:rPr>
        <w:rFonts w:ascii="Times New Roman" w:hAnsi="Times New Roman"/>
        <w:lang w:val="sk-SK"/>
      </w:rPr>
    </w:pPr>
    <w:r>
      <w:rPr>
        <w:rFonts w:ascii="Times New Roman" w:hAnsi="Times New Roman"/>
        <w:lang w:val="sk-SK"/>
      </w:rPr>
      <w:t>6. 3. 2015</w:t>
    </w:r>
    <w:bookmarkStart w:id="0" w:name="_GoBack"/>
    <w:bookmarkEnd w:id="0"/>
    <w:r w:rsidR="00E66436">
      <w:rPr>
        <w:rFonts w:ascii="Times New Roman" w:hAnsi="Times New Roman"/>
        <w:lang w:val="sk-SK"/>
      </w:rPr>
      <w:tab/>
    </w:r>
    <w:r w:rsidR="00E66436">
      <w:rPr>
        <w:rFonts w:ascii="Times New Roman" w:hAnsi="Times New Roman"/>
        <w:lang w:val="sk-SK"/>
      </w:rPr>
      <w:tab/>
    </w:r>
    <w:r w:rsidR="00F178FE">
      <w:rPr>
        <w:rFonts w:ascii="Times New Roman" w:hAnsi="Times New Roman"/>
        <w:lang w:val="sk-SK"/>
      </w:rPr>
      <w:t xml:space="preserve">Strana </w:t>
    </w:r>
    <w:r w:rsidR="00C909E1">
      <w:rPr>
        <w:rFonts w:ascii="Times New Roman" w:hAnsi="Times New Roman"/>
        <w:lang w:val="sk-SK"/>
      </w:rPr>
      <w:fldChar w:fldCharType="begin"/>
    </w:r>
    <w:r w:rsidR="00FC7D9F">
      <w:rPr>
        <w:rFonts w:ascii="Times New Roman" w:hAnsi="Times New Roman"/>
        <w:lang w:val="sk-SK"/>
      </w:rPr>
      <w:instrText xml:space="preserve"> PAGE   \* MERGEFORMAT </w:instrText>
    </w:r>
    <w:r w:rsidR="00C909E1">
      <w:rPr>
        <w:rFonts w:ascii="Times New Roman" w:hAnsi="Times New Roman"/>
        <w:lang w:val="sk-SK"/>
      </w:rPr>
      <w:fldChar w:fldCharType="separate"/>
    </w:r>
    <w:r w:rsidR="003B469B">
      <w:rPr>
        <w:rFonts w:ascii="Times New Roman" w:hAnsi="Times New Roman"/>
        <w:noProof/>
        <w:lang w:val="sk-SK"/>
      </w:rPr>
      <w:t>3</w:t>
    </w:r>
    <w:r w:rsidR="00C909E1">
      <w:rPr>
        <w:rFonts w:ascii="Times New Roman" w:hAnsi="Times New Roman"/>
        <w:lang w:val="sk-SK"/>
      </w:rPr>
      <w:fldChar w:fldCharType="end"/>
    </w:r>
    <w:r w:rsidR="00F178FE">
      <w:rPr>
        <w:rFonts w:ascii="Times New Roman" w:hAnsi="Times New Roman"/>
        <w:lang w:val="sk-SK"/>
      </w:rPr>
      <w:t>/</w:t>
    </w:r>
    <w:fldSimple w:instr=" SECTIONPAGES   \* MERGEFORMAT ">
      <w:r w:rsidR="003B469B" w:rsidRPr="003B469B">
        <w:rPr>
          <w:rFonts w:ascii="Times New Roman" w:hAnsi="Times New Roman"/>
          <w:noProof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D9F" w:rsidRDefault="00FC7D9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479" w:rsidRDefault="00881479" w:rsidP="00F178FE">
      <w:pPr>
        <w:spacing w:after="0" w:line="240" w:lineRule="auto"/>
      </w:pPr>
      <w:r>
        <w:separator/>
      </w:r>
    </w:p>
  </w:footnote>
  <w:footnote w:type="continuationSeparator" w:id="0">
    <w:p w:rsidR="00881479" w:rsidRDefault="00881479" w:rsidP="00F17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D9F" w:rsidRDefault="00FC7D9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8FE" w:rsidRDefault="008D4434">
    <w:pPr>
      <w:pStyle w:val="Header"/>
      <w:rPr>
        <w:rFonts w:ascii="Times New Roman" w:hAnsi="Times New Roman"/>
      </w:rPr>
    </w:pPr>
    <w:r>
      <w:rPr>
        <w:noProof/>
        <w:sz w:val="20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5648325</wp:posOffset>
          </wp:positionH>
          <wp:positionV relativeFrom="paragraph">
            <wp:posOffset>-259080</wp:posOffset>
          </wp:positionV>
          <wp:extent cx="1028700" cy="485775"/>
          <wp:effectExtent l="0" t="0" r="0" b="9525"/>
          <wp:wrapNone/>
          <wp:docPr id="4" name="Picture 7" descr="Slovenská spoločnosť aktuárov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Slovenská spoločnosť aktuárov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Verdana" w:hAnsi="Verdana"/>
        <w:noProof/>
        <w:color w:val="0F495C"/>
        <w:sz w:val="17"/>
        <w:szCs w:val="17"/>
      </w:rPr>
      <w:drawing>
        <wp:inline distT="0" distB="0" distL="0" distR="0">
          <wp:extent cx="1031875" cy="488950"/>
          <wp:effectExtent l="0" t="0" r="0" b="6350"/>
          <wp:docPr id="40" name="Picture 1" descr="Slovenská spoločnosť aktuárov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ovenská spoločnosť aktuárov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1875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909E1" w:rsidRPr="00C909E1">
      <w:rPr>
        <w:noProof/>
        <w:sz w:val="20"/>
        <w:lang w:val="de-CH" w:eastAsia="de-CH"/>
      </w:rPr>
      <w:pict>
        <v:rect id="Rectangle 2" o:spid="_x0000_s2050" style="position:absolute;margin-left:-74.25pt;margin-top:-24.15pt;width:614.25pt;height:44.2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" fillcolor="#4f81bd" stroked="f" strokecolor="#f2f2f2" strokeweight="3pt">
          <v:shadow on="t" color="#243f60" opacity=".5" offset="1pt"/>
          <v:textbox>
            <w:txbxContent>
              <w:p w:rsidR="004376D2" w:rsidRDefault="004376D2">
                <w:pPr>
                  <w:rPr>
                    <w:rFonts w:ascii="Times New Roman" w:hAnsi="Times New Roman"/>
                    <w:color w:val="FFFFFF"/>
                    <w:lang w:val="sk-SK"/>
                  </w:rPr>
                </w:pPr>
                <w:r>
                  <w:rPr>
                    <w:rFonts w:ascii="Times New Roman" w:hAnsi="Times New Roman"/>
                    <w:color w:val="FFFFFF"/>
                    <w:lang w:val="sk-SK"/>
                  </w:rPr>
                  <w:t>Slovenská spoločnosť aktuárov</w:t>
                </w:r>
              </w:p>
              <w:p w:rsidR="004376D2" w:rsidRDefault="004376D2">
                <w:pPr>
                  <w:rPr>
                    <w:rFonts w:ascii="Times New Roman" w:hAnsi="Times New Roman"/>
                    <w:b/>
                    <w:color w:val="FFFFFF"/>
                    <w:lang w:val="sk-SK"/>
                  </w:rPr>
                </w:pPr>
                <w:r>
                  <w:rPr>
                    <w:rFonts w:ascii="Times New Roman" w:hAnsi="Times New Roman"/>
                    <w:b/>
                    <w:color w:val="FFFFFF"/>
                    <w:lang w:val="sk-SK"/>
                  </w:rPr>
                  <w:t>Predmet B3 – Aktuárska matematika a aktuárske ohodnocovanie rezerv</w:t>
                </w:r>
              </w:p>
            </w:txbxContent>
          </v:textbox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D9F" w:rsidRDefault="00FC7D9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22DF3"/>
    <w:multiLevelType w:val="hybridMultilevel"/>
    <w:tmpl w:val="14F44C8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681116A"/>
    <w:multiLevelType w:val="hybridMultilevel"/>
    <w:tmpl w:val="742EA994"/>
    <w:lvl w:ilvl="0" w:tplc="C3C4EC3E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3E48A6"/>
    <w:multiLevelType w:val="hybridMultilevel"/>
    <w:tmpl w:val="A82E5F1A"/>
    <w:lvl w:ilvl="0" w:tplc="691E353C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46D47AA"/>
    <w:multiLevelType w:val="hybridMultilevel"/>
    <w:tmpl w:val="D9F6480C"/>
    <w:lvl w:ilvl="0" w:tplc="560C618A">
      <w:start w:val="2"/>
      <w:numFmt w:val="lowerLetter"/>
      <w:lvlText w:val="(%1)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DE7030"/>
    <w:multiLevelType w:val="hybridMultilevel"/>
    <w:tmpl w:val="5F0A8B68"/>
    <w:lvl w:ilvl="0" w:tplc="20C44164">
      <w:start w:val="4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A834EB"/>
    <w:multiLevelType w:val="hybridMultilevel"/>
    <w:tmpl w:val="8D789D40"/>
    <w:lvl w:ilvl="0" w:tplc="F8D4872A">
      <w:start w:val="3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178FE"/>
    <w:rsid w:val="000217CE"/>
    <w:rsid w:val="00036438"/>
    <w:rsid w:val="00055C43"/>
    <w:rsid w:val="000864CF"/>
    <w:rsid w:val="000E1CE2"/>
    <w:rsid w:val="0012557C"/>
    <w:rsid w:val="001433C4"/>
    <w:rsid w:val="00156F70"/>
    <w:rsid w:val="001D6D3D"/>
    <w:rsid w:val="001E7C6E"/>
    <w:rsid w:val="001F2C4E"/>
    <w:rsid w:val="00200162"/>
    <w:rsid w:val="00245932"/>
    <w:rsid w:val="002B6467"/>
    <w:rsid w:val="002D13CA"/>
    <w:rsid w:val="002E5F2C"/>
    <w:rsid w:val="002F23AD"/>
    <w:rsid w:val="00391CA5"/>
    <w:rsid w:val="003B469B"/>
    <w:rsid w:val="00416B31"/>
    <w:rsid w:val="00417871"/>
    <w:rsid w:val="00424E10"/>
    <w:rsid w:val="0043195D"/>
    <w:rsid w:val="004373E7"/>
    <w:rsid w:val="004376D2"/>
    <w:rsid w:val="0045597C"/>
    <w:rsid w:val="00464129"/>
    <w:rsid w:val="00495438"/>
    <w:rsid w:val="004A6304"/>
    <w:rsid w:val="004D0BF2"/>
    <w:rsid w:val="004D5FA8"/>
    <w:rsid w:val="004E2831"/>
    <w:rsid w:val="004E4461"/>
    <w:rsid w:val="00502705"/>
    <w:rsid w:val="00503BF7"/>
    <w:rsid w:val="005270BD"/>
    <w:rsid w:val="00533BEE"/>
    <w:rsid w:val="00541579"/>
    <w:rsid w:val="005612CC"/>
    <w:rsid w:val="00581F53"/>
    <w:rsid w:val="0059204F"/>
    <w:rsid w:val="005A401A"/>
    <w:rsid w:val="005E23BE"/>
    <w:rsid w:val="005E69DC"/>
    <w:rsid w:val="005F66A9"/>
    <w:rsid w:val="0061163B"/>
    <w:rsid w:val="00666D75"/>
    <w:rsid w:val="00687E38"/>
    <w:rsid w:val="00693758"/>
    <w:rsid w:val="006D5122"/>
    <w:rsid w:val="00705CDA"/>
    <w:rsid w:val="007126FE"/>
    <w:rsid w:val="0071424D"/>
    <w:rsid w:val="00755B23"/>
    <w:rsid w:val="007629F7"/>
    <w:rsid w:val="00777373"/>
    <w:rsid w:val="007940DE"/>
    <w:rsid w:val="007E0645"/>
    <w:rsid w:val="008121B6"/>
    <w:rsid w:val="00832074"/>
    <w:rsid w:val="00834ECA"/>
    <w:rsid w:val="00843383"/>
    <w:rsid w:val="00856CC0"/>
    <w:rsid w:val="00881479"/>
    <w:rsid w:val="008A3152"/>
    <w:rsid w:val="008A4AA7"/>
    <w:rsid w:val="008C79EF"/>
    <w:rsid w:val="008D4434"/>
    <w:rsid w:val="008E14C4"/>
    <w:rsid w:val="008E21A5"/>
    <w:rsid w:val="009020C8"/>
    <w:rsid w:val="00902B2D"/>
    <w:rsid w:val="00915579"/>
    <w:rsid w:val="009415ED"/>
    <w:rsid w:val="009503B9"/>
    <w:rsid w:val="0097338F"/>
    <w:rsid w:val="009871A7"/>
    <w:rsid w:val="009D67A3"/>
    <w:rsid w:val="009F7AB4"/>
    <w:rsid w:val="00A12C32"/>
    <w:rsid w:val="00A13B14"/>
    <w:rsid w:val="00A24905"/>
    <w:rsid w:val="00A272D1"/>
    <w:rsid w:val="00A27FA5"/>
    <w:rsid w:val="00A6105A"/>
    <w:rsid w:val="00AB47BA"/>
    <w:rsid w:val="00AE7D6A"/>
    <w:rsid w:val="00AF055C"/>
    <w:rsid w:val="00B112A5"/>
    <w:rsid w:val="00B17342"/>
    <w:rsid w:val="00B236C4"/>
    <w:rsid w:val="00B42DF0"/>
    <w:rsid w:val="00B47C79"/>
    <w:rsid w:val="00B766AF"/>
    <w:rsid w:val="00B9363E"/>
    <w:rsid w:val="00BC10AC"/>
    <w:rsid w:val="00BD3266"/>
    <w:rsid w:val="00C06EDA"/>
    <w:rsid w:val="00C1088F"/>
    <w:rsid w:val="00C5618F"/>
    <w:rsid w:val="00C57A61"/>
    <w:rsid w:val="00C909E1"/>
    <w:rsid w:val="00C91402"/>
    <w:rsid w:val="00C93564"/>
    <w:rsid w:val="00CB2F90"/>
    <w:rsid w:val="00CC3EBC"/>
    <w:rsid w:val="00CC714E"/>
    <w:rsid w:val="00CF1086"/>
    <w:rsid w:val="00D12D7C"/>
    <w:rsid w:val="00D157BE"/>
    <w:rsid w:val="00D21DB0"/>
    <w:rsid w:val="00D27791"/>
    <w:rsid w:val="00D44592"/>
    <w:rsid w:val="00DA51B2"/>
    <w:rsid w:val="00DA65F3"/>
    <w:rsid w:val="00DB33CB"/>
    <w:rsid w:val="00DB73C2"/>
    <w:rsid w:val="00DD1347"/>
    <w:rsid w:val="00DD1824"/>
    <w:rsid w:val="00DF03B0"/>
    <w:rsid w:val="00DF1AC8"/>
    <w:rsid w:val="00E0004A"/>
    <w:rsid w:val="00E32F25"/>
    <w:rsid w:val="00E54B13"/>
    <w:rsid w:val="00E66436"/>
    <w:rsid w:val="00E77D6B"/>
    <w:rsid w:val="00E8650F"/>
    <w:rsid w:val="00EA2461"/>
    <w:rsid w:val="00ED0EFB"/>
    <w:rsid w:val="00ED2B13"/>
    <w:rsid w:val="00EE6AE0"/>
    <w:rsid w:val="00EF2609"/>
    <w:rsid w:val="00F11F1F"/>
    <w:rsid w:val="00F178FE"/>
    <w:rsid w:val="00F455F2"/>
    <w:rsid w:val="00F72661"/>
    <w:rsid w:val="00FC7D9F"/>
    <w:rsid w:val="00FD0E08"/>
    <w:rsid w:val="00FD3BC9"/>
    <w:rsid w:val="00FE776D"/>
    <w:rsid w:val="00FE7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AB4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17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178FE"/>
  </w:style>
  <w:style w:type="paragraph" w:styleId="Footer">
    <w:name w:val="footer"/>
    <w:basedOn w:val="Normal"/>
    <w:link w:val="FooterChar"/>
    <w:unhideWhenUsed/>
    <w:rsid w:val="00F17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178FE"/>
  </w:style>
  <w:style w:type="character" w:styleId="Hyperlink">
    <w:name w:val="Hyperlink"/>
    <w:basedOn w:val="DefaultParagraphFont"/>
    <w:unhideWhenUsed/>
    <w:rsid w:val="00F178F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7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78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17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66436"/>
    <w:pPr>
      <w:ind w:left="720"/>
      <w:contextualSpacing/>
    </w:pPr>
  </w:style>
  <w:style w:type="character" w:styleId="FollowedHyperlink">
    <w:name w:val="FollowedHyperlink"/>
    <w:basedOn w:val="DefaultParagraphFont"/>
    <w:semiHidden/>
    <w:unhideWhenUsed/>
    <w:rsid w:val="00902B2D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4E4461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E77D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7D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7D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7D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7D6B"/>
    <w:rPr>
      <w:b/>
      <w:bCs/>
      <w:sz w:val="20"/>
      <w:szCs w:val="20"/>
    </w:rPr>
  </w:style>
  <w:style w:type="paragraph" w:customStyle="1" w:styleId="BalloonText1">
    <w:name w:val="Balloon Text1"/>
    <w:basedOn w:val="Normal"/>
    <w:rsid w:val="00D157B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D157BE"/>
    <w:pPr>
      <w:ind w:left="720"/>
    </w:pPr>
  </w:style>
  <w:style w:type="character" w:customStyle="1" w:styleId="PlaceholderText1">
    <w:name w:val="Placeholder Text1"/>
    <w:rsid w:val="00D157BE"/>
    <w:rPr>
      <w:rFonts w:ascii="Times New Roman" w:hAnsi="Times New Roman" w:cs="Times New Roman"/>
      <w:color w:val="808080"/>
    </w:rPr>
  </w:style>
  <w:style w:type="paragraph" w:customStyle="1" w:styleId="Odsekzoznamu1">
    <w:name w:val="Odsek zoznamu1"/>
    <w:basedOn w:val="Normal"/>
    <w:rsid w:val="00D157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17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178FE"/>
  </w:style>
  <w:style w:type="paragraph" w:styleId="Footer">
    <w:name w:val="footer"/>
    <w:basedOn w:val="Normal"/>
    <w:link w:val="FooterChar"/>
    <w:unhideWhenUsed/>
    <w:rsid w:val="00F17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178FE"/>
  </w:style>
  <w:style w:type="character" w:styleId="Hyperlink">
    <w:name w:val="Hyperlink"/>
    <w:basedOn w:val="DefaultParagraphFont"/>
    <w:unhideWhenUsed/>
    <w:rsid w:val="00F178F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7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78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17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66436"/>
    <w:pPr>
      <w:ind w:left="720"/>
      <w:contextualSpacing/>
    </w:pPr>
  </w:style>
  <w:style w:type="character" w:styleId="FollowedHyperlink">
    <w:name w:val="FollowedHyperlink"/>
    <w:basedOn w:val="DefaultParagraphFont"/>
    <w:semiHidden/>
    <w:unhideWhenUsed/>
    <w:rsid w:val="00902B2D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4E4461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E77D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7D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7D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7D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7D6B"/>
    <w:rPr>
      <w:b/>
      <w:bCs/>
      <w:sz w:val="20"/>
      <w:szCs w:val="20"/>
    </w:rPr>
  </w:style>
  <w:style w:type="paragraph" w:customStyle="1" w:styleId="BalloonText1">
    <w:name w:val="Balloon Text1"/>
    <w:basedOn w:val="Normal"/>
    <w:rsid w:val="00D157B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D157BE"/>
    <w:pPr>
      <w:ind w:left="720"/>
    </w:pPr>
  </w:style>
  <w:style w:type="character" w:customStyle="1" w:styleId="PlaceholderText1">
    <w:name w:val="Placeholder Text1"/>
    <w:rsid w:val="00D157BE"/>
    <w:rPr>
      <w:rFonts w:ascii="Times New Roman" w:hAnsi="Times New Roman" w:cs="Times New Roman"/>
      <w:color w:val="808080"/>
    </w:rPr>
  </w:style>
  <w:style w:type="paragraph" w:customStyle="1" w:styleId="Odsekzoznamu1">
    <w:name w:val="Odsek zoznamu1"/>
    <w:basedOn w:val="Normal"/>
    <w:rsid w:val="00D157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19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http://www.aktuar.sk/?lg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2A6D0-8C3E-4F5E-A2BF-6665C36E88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DB1BD8-BC51-413F-AFCC-CDF2151ED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1057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Zurich Insurance Company Ltd</Company>
  <LinksUpToDate>false</LinksUpToDate>
  <CharactersWithSpaces>7070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Jozko</dc:creator>
  <cp:lastModifiedBy>Jozko</cp:lastModifiedBy>
  <cp:revision>5</cp:revision>
  <dcterms:created xsi:type="dcterms:W3CDTF">2015-02-09T20:51:00Z</dcterms:created>
  <dcterms:modified xsi:type="dcterms:W3CDTF">2015-03-09T20:18:00Z</dcterms:modified>
</cp:coreProperties>
</file>