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Tr="00A06377">
        <w:tc>
          <w:tcPr>
            <w:tcW w:w="9576" w:type="dxa"/>
          </w:tcPr>
          <w:p w:rsidR="00F178FE" w:rsidRDefault="00F178FE" w:rsidP="00232BDC">
            <w:pPr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Pr="00A947B7" w:rsidRDefault="00F003F0" w:rsidP="00232BDC">
            <w:pPr>
              <w:rPr>
                <w:lang w:val="sk-SK"/>
              </w:rPr>
            </w:pPr>
            <w:r w:rsidRPr="00F003F0">
              <w:rPr>
                <w:lang w:val="sk-SK"/>
              </w:rPr>
              <w:t>Poskytnúť technickú zručnosť pre aplikáciu princíp</w:t>
            </w:r>
            <w:r>
              <w:rPr>
                <w:lang w:val="sk-SK"/>
              </w:rPr>
              <w:t>ov a metód študovaných v rámci a</w:t>
            </w:r>
            <w:r w:rsidRPr="00F003F0">
              <w:rPr>
                <w:lang w:val="sk-SK"/>
              </w:rPr>
              <w:t>ktuárskych predmetov pri identifikovaní, kvantifikácii a manažmente rizík.</w:t>
            </w:r>
          </w:p>
        </w:tc>
      </w:tr>
    </w:tbl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A0"/>
      </w:tblPr>
      <w:tblGrid>
        <w:gridCol w:w="9576"/>
      </w:tblGrid>
      <w:tr w:rsidR="00F178FE" w:rsidTr="006453C0">
        <w:tc>
          <w:tcPr>
            <w:tcW w:w="9576" w:type="dxa"/>
            <w:shd w:val="clear" w:color="auto" w:fill="auto"/>
          </w:tcPr>
          <w:p w:rsidR="00E66436" w:rsidRPr="00E66436" w:rsidRDefault="00E66436" w:rsidP="00232BDC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F003F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>Podnikateľské prostredie podniku</w:t>
            </w:r>
          </w:p>
          <w:p w:rsidR="00EE1D4C" w:rsidRDefault="00EE1D4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štruktúru riadenia rizík a kontrol v rámci poisťovne vrátane:</w:t>
            </w:r>
          </w:p>
          <w:p w:rsidR="00EE1D4C" w:rsidRDefault="0023170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Popisu vhodnej štruktúry pre ERM spoločnosti</w:t>
            </w:r>
          </w:p>
          <w:p w:rsidR="00231709" w:rsidRDefault="0023170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Preukázania vhodného prístupu </w:t>
            </w:r>
            <w:r w:rsidR="007F2B7D" w:rsidRPr="006453C0">
              <w:rPr>
                <w:lang w:val="sk-SK"/>
              </w:rPr>
              <w:t>adoptovania</w:t>
            </w:r>
            <w:r>
              <w:rPr>
                <w:lang w:val="sk-SK"/>
              </w:rPr>
              <w:t xml:space="preserve"> ERM v oblasti súladu s legislatívou (compliance) a</w:t>
            </w:r>
            <w:r w:rsidR="00A06377">
              <w:rPr>
                <w:lang w:val="sk-SK"/>
              </w:rPr>
              <w:t xml:space="preserve"> systému riadenia </w:t>
            </w:r>
            <w:r w:rsidR="007F2B7D" w:rsidRPr="006453C0">
              <w:rPr>
                <w:lang w:val="sk-SK"/>
              </w:rPr>
              <w:t>(</w:t>
            </w:r>
            <w:r>
              <w:rPr>
                <w:lang w:val="sk-SK"/>
              </w:rPr>
              <w:t>governance</w:t>
            </w:r>
            <w:r w:rsidR="007F2B7D" w:rsidRPr="006453C0">
              <w:rPr>
                <w:lang w:val="sk-SK"/>
              </w:rPr>
              <w:t>)</w:t>
            </w:r>
          </w:p>
          <w:p w:rsidR="00EE1D4C" w:rsidRDefault="00EE1D4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Preukázať znalosti základov legislatívneho prostredia</w:t>
            </w:r>
          </w:p>
          <w:p w:rsidR="00EE1D4C" w:rsidRDefault="00EE1D4C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Poukázať na rolu NBS v ERM systéme</w:t>
            </w:r>
          </w:p>
          <w:p w:rsidR="00EE1D4C" w:rsidRDefault="00EE1D4C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 koncepty Basel II a Solventnosť II a ich princípy a prístupy vzhľadom na riadenie rizík</w:t>
            </w:r>
          </w:p>
          <w:p w:rsidR="00EE1D4C" w:rsidRDefault="00EE1D4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úlohu ratingových agentúr pri určovaní kvality riadenia rizík vrátane používaných </w:t>
            </w:r>
            <w:r w:rsidR="009231E9">
              <w:rPr>
                <w:lang w:val="sk-SK"/>
              </w:rPr>
              <w:t>kritérií</w:t>
            </w:r>
          </w:p>
          <w:p w:rsidR="00E607F5" w:rsidRDefault="00E607F5" w:rsidP="00232BDC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F003F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 xml:space="preserve">Vyhodnotenie rizík, rizikové typy a rizikové miery </w:t>
            </w:r>
          </w:p>
          <w:p w:rsidR="00FC5669" w:rsidRDefault="00FC5669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7F2B7D" w:rsidRPr="006453C0">
              <w:rPr>
                <w:lang w:val="sk-SK"/>
              </w:rPr>
              <w:t>,</w:t>
            </w:r>
            <w:r>
              <w:rPr>
                <w:lang w:val="sk-SK"/>
              </w:rPr>
              <w:t xml:space="preserve"> čo znamenajú pojmy riziko a neistota a preukázať </w:t>
            </w:r>
            <w:r w:rsidR="009231E9">
              <w:rPr>
                <w:lang w:val="sk-SK"/>
              </w:rPr>
              <w:t>znalosti</w:t>
            </w:r>
            <w:r>
              <w:rPr>
                <w:lang w:val="sk-SK"/>
              </w:rPr>
              <w:t xml:space="preserve"> rôznych definícií a konceptov rizika</w:t>
            </w:r>
          </w:p>
          <w:p w:rsidR="00231709" w:rsidRDefault="00231709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Preukázať znalosti rizikových kategórií</w:t>
            </w:r>
          </w:p>
          <w:p w:rsidR="00231709" w:rsidRDefault="0023170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Definície a príklady pre nasledujúce </w:t>
            </w:r>
            <w:r w:rsidR="007F2B7D" w:rsidRPr="006453C0">
              <w:rPr>
                <w:lang w:val="sk-SK"/>
              </w:rPr>
              <w:t>typy rizík</w:t>
            </w:r>
            <w:r>
              <w:rPr>
                <w:lang w:val="sk-SK"/>
              </w:rPr>
              <w:t>: trhové riziko, riziko úrokových mier, riziko výmenného kurzu, kreditné riziko, riziko likvidity, poistné (upisovacie</w:t>
            </w:r>
            <w:r w:rsidR="007F2B7D" w:rsidRPr="006453C0">
              <w:rPr>
                <w:lang w:val="sk-SK"/>
              </w:rPr>
              <w:t>)</w:t>
            </w:r>
            <w:r>
              <w:rPr>
                <w:lang w:val="sk-SK"/>
              </w:rPr>
              <w:t xml:space="preserve"> riziká</w:t>
            </w:r>
            <w:r w:rsidR="00BF6777" w:rsidRPr="006453C0">
              <w:rPr>
                <w:lang w:val="sk-SK"/>
              </w:rPr>
              <w:t>,</w:t>
            </w:r>
            <w:r>
              <w:rPr>
                <w:lang w:val="sk-SK"/>
              </w:rPr>
              <w:t xml:space="preserve"> operačné riziko, legislatívne riziko, riziko vyplývajúce z dohľadu, politické riziko, riziko </w:t>
            </w:r>
            <w:r w:rsidR="007F2B7D" w:rsidRPr="006453C0">
              <w:rPr>
                <w:lang w:val="sk-SK"/>
              </w:rPr>
              <w:t>fungovania</w:t>
            </w:r>
            <w:r>
              <w:rPr>
                <w:lang w:val="sk-SK"/>
              </w:rPr>
              <w:t xml:space="preserve"> spoločnosti (agency risk), reputačné riziko, riziko projektov, strategické riziko, demografické riziko, morálny hazard</w:t>
            </w:r>
          </w:p>
          <w:p w:rsidR="009C2E35" w:rsidRPr="00BD22F1" w:rsidRDefault="00FC566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Spôsoby kategorizovania jednotlivých rizík</w:t>
            </w:r>
          </w:p>
          <w:p w:rsidR="00E607F5" w:rsidRDefault="00E607F5" w:rsidP="00232BDC">
            <w:pPr>
              <w:pStyle w:val="ListParagraph1"/>
              <w:spacing w:after="0" w:line="240" w:lineRule="auto"/>
              <w:ind w:left="1800"/>
              <w:rPr>
                <w:lang w:val="sk-SK"/>
              </w:rPr>
            </w:pPr>
          </w:p>
          <w:p w:rsidR="00F003F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 xml:space="preserve">Dizajn a ocenenie produktov a služieb </w:t>
            </w:r>
          </w:p>
          <w:p w:rsidR="00BD22F1" w:rsidRDefault="00BD22F1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Identifikovať kľúčové riziká pre hlavné typy</w:t>
            </w:r>
          </w:p>
          <w:p w:rsidR="00BD22F1" w:rsidRDefault="007F2B7D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 w:rsidRPr="006453C0">
              <w:rPr>
                <w:lang w:val="sk-SK"/>
              </w:rPr>
              <w:t>p</w:t>
            </w:r>
            <w:r w:rsidR="00BF6777" w:rsidRPr="006453C0">
              <w:rPr>
                <w:lang w:val="sk-SK"/>
              </w:rPr>
              <w:t>roduktov</w:t>
            </w:r>
            <w:r w:rsidR="00BD22F1">
              <w:rPr>
                <w:lang w:val="sk-SK"/>
              </w:rPr>
              <w:t xml:space="preserve"> životného a penzijného poistenia </w:t>
            </w:r>
          </w:p>
          <w:p w:rsidR="00BD22F1" w:rsidRDefault="007F2B7D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 w:rsidRPr="006453C0">
              <w:rPr>
                <w:lang w:val="sk-SK"/>
              </w:rPr>
              <w:t>p</w:t>
            </w:r>
            <w:r w:rsidR="00BF6777" w:rsidRPr="006453C0">
              <w:rPr>
                <w:lang w:val="sk-SK"/>
              </w:rPr>
              <w:t>roduktov</w:t>
            </w:r>
            <w:r w:rsidR="00BD22F1">
              <w:rPr>
                <w:lang w:val="sk-SK"/>
              </w:rPr>
              <w:t xml:space="preserve"> neživotného poistenia</w:t>
            </w:r>
          </w:p>
          <w:p w:rsidR="00BD22F1" w:rsidRDefault="007F2B7D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 w:rsidRPr="006453C0">
              <w:rPr>
                <w:lang w:val="sk-SK"/>
              </w:rPr>
              <w:t>p</w:t>
            </w:r>
            <w:r w:rsidR="00BF6777" w:rsidRPr="006453C0">
              <w:rPr>
                <w:lang w:val="sk-SK"/>
              </w:rPr>
              <w:t>roduktov</w:t>
            </w:r>
            <w:r w:rsidR="00BD22F1">
              <w:rPr>
                <w:lang w:val="sk-SK"/>
              </w:rPr>
              <w:t xml:space="preserve"> zdravotného poistenia</w:t>
            </w:r>
          </w:p>
          <w:p w:rsidR="00BD22F1" w:rsidRDefault="00BD22F1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Započítanie ceny rizika do výšky poistného pomocou</w:t>
            </w:r>
          </w:p>
          <w:p w:rsidR="00BD22F1" w:rsidRDefault="00BD22F1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rizikovej prirážky</w:t>
            </w:r>
          </w:p>
          <w:p w:rsidR="00BD22F1" w:rsidRDefault="00BD22F1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 w:rsidRPr="008163CB">
              <w:rPr>
                <w:lang w:val="sk-SK"/>
              </w:rPr>
              <w:t>ceny</w:t>
            </w:r>
            <w:r w:rsidR="007F2B7D" w:rsidRPr="006453C0">
              <w:rPr>
                <w:lang w:val="sk-SK"/>
              </w:rPr>
              <w:t xml:space="preserve"> za držanie</w:t>
            </w:r>
            <w:r w:rsidRPr="008163CB">
              <w:rPr>
                <w:lang w:val="sk-SK"/>
              </w:rPr>
              <w:t xml:space="preserve"> kapitálu</w:t>
            </w:r>
            <w:r>
              <w:rPr>
                <w:lang w:val="sk-SK"/>
              </w:rPr>
              <w:t xml:space="preserve"> (cost of capital)</w:t>
            </w:r>
          </w:p>
          <w:p w:rsidR="00BD22F1" w:rsidRDefault="00BD22F1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Identifikácia rizík, ktoré nemôžu byť</w:t>
            </w:r>
            <w:r w:rsidR="00D04B3A">
              <w:rPr>
                <w:lang w:val="sk-SK"/>
              </w:rPr>
              <w:t xml:space="preserve"> / sú ťažko</w:t>
            </w:r>
            <w:r>
              <w:rPr>
                <w:lang w:val="sk-SK"/>
              </w:rPr>
              <w:t xml:space="preserve"> </w:t>
            </w:r>
            <w:r w:rsidR="00BF6777" w:rsidRPr="006453C0">
              <w:rPr>
                <w:lang w:val="sk-SK"/>
              </w:rPr>
              <w:t>kvantifikova</w:t>
            </w:r>
            <w:r w:rsidR="007F2B7D" w:rsidRPr="006453C0">
              <w:rPr>
                <w:lang w:val="sk-SK"/>
              </w:rPr>
              <w:t>teľ</w:t>
            </w:r>
            <w:r w:rsidR="00BF6777" w:rsidRPr="006453C0">
              <w:rPr>
                <w:lang w:val="sk-SK"/>
              </w:rPr>
              <w:t>né</w:t>
            </w:r>
            <w:r>
              <w:rPr>
                <w:lang w:val="sk-SK"/>
              </w:rPr>
              <w:t xml:space="preserve"> a</w:t>
            </w:r>
            <w:r w:rsidR="00D04B3A">
              <w:rPr>
                <w:lang w:val="sk-SK"/>
              </w:rPr>
              <w:t xml:space="preserve"> spôsoby ochrany poisťovne pred týmito </w:t>
            </w:r>
            <w:r w:rsidR="00BF6777" w:rsidRPr="006453C0">
              <w:rPr>
                <w:lang w:val="sk-SK"/>
              </w:rPr>
              <w:t>riz</w:t>
            </w:r>
            <w:r w:rsidR="007F2B7D" w:rsidRPr="006453C0">
              <w:rPr>
                <w:lang w:val="sk-SK"/>
              </w:rPr>
              <w:t>i</w:t>
            </w:r>
            <w:r w:rsidR="00BF6777" w:rsidRPr="006453C0">
              <w:rPr>
                <w:lang w:val="sk-SK"/>
              </w:rPr>
              <w:t>kami</w:t>
            </w:r>
            <w:r w:rsidR="00D04B3A">
              <w:rPr>
                <w:lang w:val="sk-SK"/>
              </w:rPr>
              <w:t xml:space="preserve">  </w:t>
            </w:r>
          </w:p>
          <w:p w:rsidR="00E607F5" w:rsidRPr="00F003F0" w:rsidRDefault="00E607F5" w:rsidP="006453C0">
            <w:pPr>
              <w:pStyle w:val="ListParagraph1"/>
              <w:spacing w:after="0" w:line="240" w:lineRule="auto"/>
              <w:ind w:left="360"/>
              <w:rPr>
                <w:lang w:val="sk-SK"/>
              </w:rPr>
            </w:pPr>
          </w:p>
          <w:p w:rsidR="009231E9" w:rsidRDefault="00F003F0" w:rsidP="006453C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>Určenie predpokladov a stanovenie scenárov</w:t>
            </w:r>
          </w:p>
          <w:p w:rsidR="00F003F0" w:rsidRDefault="009231E9" w:rsidP="006453C0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</w:t>
            </w:r>
            <w:r w:rsidR="00F003F0" w:rsidRPr="00F003F0">
              <w:rPr>
                <w:lang w:val="sk-SK"/>
              </w:rPr>
              <w:t xml:space="preserve"> </w:t>
            </w:r>
            <w:r w:rsidR="002D6988">
              <w:rPr>
                <w:lang w:val="sk-SK"/>
              </w:rPr>
              <w:t xml:space="preserve">spôsob </w:t>
            </w:r>
            <w:r>
              <w:rPr>
                <w:lang w:val="sk-SK"/>
              </w:rPr>
              <w:t>stanov</w:t>
            </w:r>
            <w:r w:rsidR="002D6988">
              <w:rPr>
                <w:lang w:val="sk-SK"/>
              </w:rPr>
              <w:t>e</w:t>
            </w:r>
            <w:r>
              <w:rPr>
                <w:lang w:val="sk-SK"/>
              </w:rPr>
              <w:t>ni</w:t>
            </w:r>
            <w:r w:rsidR="002D6988">
              <w:rPr>
                <w:lang w:val="sk-SK"/>
              </w:rPr>
              <w:t>a</w:t>
            </w:r>
            <w:r>
              <w:rPr>
                <w:lang w:val="sk-SK"/>
              </w:rPr>
              <w:t xml:space="preserve"> ekonomických predpokladov</w:t>
            </w:r>
          </w:p>
          <w:p w:rsidR="009231E9" w:rsidRDefault="009231E9" w:rsidP="006453C0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Spôsob určovania výnosovej krivky</w:t>
            </w:r>
          </w:p>
          <w:p w:rsidR="009231E9" w:rsidRDefault="009231E9" w:rsidP="006453C0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Zadefinovanie základných trhových predpokladov </w:t>
            </w:r>
            <w:r w:rsidR="002D6988">
              <w:rPr>
                <w:lang w:val="sk-SK"/>
              </w:rPr>
              <w:t>–</w:t>
            </w:r>
            <w:r>
              <w:rPr>
                <w:lang w:val="sk-SK"/>
              </w:rPr>
              <w:t xml:space="preserve"> komple</w:t>
            </w:r>
            <w:r w:rsidR="002D6988">
              <w:rPr>
                <w:lang w:val="sk-SK"/>
              </w:rPr>
              <w:t>t</w:t>
            </w:r>
            <w:r>
              <w:rPr>
                <w:lang w:val="sk-SK"/>
              </w:rPr>
              <w:t>nosť</w:t>
            </w:r>
            <w:r w:rsidR="002D6988">
              <w:rPr>
                <w:lang w:val="sk-SK"/>
              </w:rPr>
              <w:t xml:space="preserve"> trhu, </w:t>
            </w:r>
            <w:r w:rsidR="00EA2D9E" w:rsidRPr="00301BB8">
              <w:rPr>
                <w:lang w:val="sk-SK"/>
              </w:rPr>
              <w:t>vylúčenie</w:t>
            </w:r>
            <w:r w:rsidR="002D6988">
              <w:rPr>
                <w:lang w:val="sk-SK"/>
              </w:rPr>
              <w:t xml:space="preserve"> arbitráže</w:t>
            </w:r>
          </w:p>
          <w:p w:rsidR="002D6988" w:rsidRDefault="002D6988" w:rsidP="006453C0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Spôsoby interpolácie výnosovej krivky – Nelson – Siegel, splajny</w:t>
            </w:r>
          </w:p>
          <w:p w:rsidR="002D6988" w:rsidRDefault="002D6988" w:rsidP="006453C0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pojmy „posledný likvidný bod“ a „ultimátna forwardová úroková miera“</w:t>
            </w:r>
          </w:p>
          <w:p w:rsidR="002D6988" w:rsidRDefault="002D6988" w:rsidP="006453C0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princíp a použitie úpravy volatilít a </w:t>
            </w:r>
            <w:r w:rsidRPr="00301BB8">
              <w:rPr>
                <w:lang w:val="sk-SK"/>
              </w:rPr>
              <w:t>cyklickej</w:t>
            </w:r>
            <w:r>
              <w:rPr>
                <w:lang w:val="sk-SK"/>
              </w:rPr>
              <w:t xml:space="preserve"> úpravy výnosovej krivky</w:t>
            </w:r>
          </w:p>
          <w:p w:rsidR="002D6988" w:rsidRDefault="002D6988" w:rsidP="006453C0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lastRenderedPageBreak/>
              <w:t>Spôsob stanovenia nákladovej a mzdovej inflácie</w:t>
            </w:r>
          </w:p>
          <w:p w:rsidR="002D6988" w:rsidRDefault="002D6988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 Popísať </w:t>
            </w:r>
            <w:r w:rsidRPr="00F003F0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spôsob stanovenia </w:t>
            </w:r>
            <w:r w:rsidR="007F2B7D" w:rsidRPr="006453C0">
              <w:rPr>
                <w:lang w:val="sk-SK"/>
              </w:rPr>
              <w:t>ne</w:t>
            </w:r>
            <w:r w:rsidR="00BF6777" w:rsidRPr="006453C0">
              <w:rPr>
                <w:lang w:val="sk-SK"/>
              </w:rPr>
              <w:t>ekonomických</w:t>
            </w:r>
            <w:r>
              <w:rPr>
                <w:lang w:val="sk-SK"/>
              </w:rPr>
              <w:t xml:space="preserve"> predpokladov</w:t>
            </w:r>
          </w:p>
          <w:p w:rsidR="002D6988" w:rsidRDefault="002D6988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Náklady spoločnosti</w:t>
            </w:r>
            <w:r w:rsidR="00E607F5">
              <w:rPr>
                <w:lang w:val="sk-SK"/>
              </w:rPr>
              <w:t xml:space="preserve"> / nákladovosť</w:t>
            </w:r>
          </w:p>
          <w:p w:rsidR="002D6988" w:rsidRDefault="002D6988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Škodovosť, úmrtnosť</w:t>
            </w:r>
          </w:p>
          <w:p w:rsidR="00E607F5" w:rsidRDefault="00E607F5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Technické zmeny vplývajúce na hodnotu záväzkov poisťovne</w:t>
            </w:r>
          </w:p>
          <w:p w:rsidR="00E607F5" w:rsidRDefault="00E607F5" w:rsidP="00232BDC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Splatený stav</w:t>
            </w:r>
          </w:p>
          <w:p w:rsidR="00E607F5" w:rsidRDefault="00E607F5" w:rsidP="00232BDC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Stornovanosť</w:t>
            </w:r>
          </w:p>
          <w:p w:rsidR="002D6988" w:rsidRDefault="00E607F5" w:rsidP="00232BDC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 w:rsidRPr="00E607F5">
              <w:rPr>
                <w:lang w:val="sk-SK"/>
              </w:rPr>
              <w:t>Opcie</w:t>
            </w:r>
          </w:p>
          <w:p w:rsidR="00E607F5" w:rsidRPr="00E607F5" w:rsidRDefault="00E607F5" w:rsidP="00232BDC">
            <w:pPr>
              <w:pStyle w:val="ListParagraph1"/>
              <w:spacing w:after="0" w:line="240" w:lineRule="auto"/>
              <w:ind w:left="2520"/>
              <w:rPr>
                <w:lang w:val="sk-SK"/>
              </w:rPr>
            </w:pPr>
          </w:p>
          <w:p w:rsidR="009231E9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>Metódy ohodnocovania rezerv a</w:t>
            </w:r>
            <w:r w:rsidR="009231E9">
              <w:rPr>
                <w:lang w:val="sk-SK"/>
              </w:rPr>
              <w:t> </w:t>
            </w:r>
            <w:r w:rsidRPr="00F003F0">
              <w:rPr>
                <w:lang w:val="sk-SK"/>
              </w:rPr>
              <w:t>závä</w:t>
            </w:r>
            <w:r w:rsidR="009231E9">
              <w:rPr>
                <w:lang w:val="sk-SK"/>
              </w:rPr>
              <w:t>zkov</w:t>
            </w:r>
          </w:p>
          <w:p w:rsidR="009231E9" w:rsidRDefault="0049216D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6453C0">
              <w:rPr>
                <w:lang w:val="sk-SK"/>
              </w:rPr>
              <w:t>Popísať základné</w:t>
            </w:r>
            <w:r w:rsidR="00BF6777" w:rsidRPr="006453C0">
              <w:rPr>
                <w:lang w:val="sk-SK"/>
              </w:rPr>
              <w:t xml:space="preserve"> metód</w:t>
            </w:r>
            <w:r w:rsidRPr="006453C0">
              <w:rPr>
                <w:lang w:val="sk-SK"/>
              </w:rPr>
              <w:t>y</w:t>
            </w:r>
            <w:r w:rsidR="009231E9">
              <w:rPr>
                <w:lang w:val="sk-SK"/>
              </w:rPr>
              <w:t xml:space="preserve"> ohodnocovania záväzkov</w:t>
            </w:r>
          </w:p>
          <w:p w:rsidR="009231E9" w:rsidRDefault="009231E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Ocenenie podľa trhu – mark to market</w:t>
            </w:r>
          </w:p>
          <w:p w:rsidR="009231E9" w:rsidRDefault="009231E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Ocenenie pomocou modelu  - mark to model</w:t>
            </w:r>
          </w:p>
          <w:p w:rsidR="009231E9" w:rsidRDefault="009231E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Replikačné portfólio</w:t>
            </w:r>
          </w:p>
          <w:p w:rsidR="002D6988" w:rsidRDefault="002D6988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základy metódy odúročených peňažných tokov</w:t>
            </w:r>
          </w:p>
          <w:p w:rsidR="00ED489C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ED489C">
              <w:rPr>
                <w:lang w:val="sk-SK"/>
              </w:rPr>
              <w:t>Výpočet rizikovej marže pri ohodnocovaní záväzkov</w:t>
            </w:r>
          </w:p>
          <w:p w:rsidR="00ED489C" w:rsidRDefault="00ED489C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aproximácie uvedené v legislatíve Solventnosti II</w:t>
            </w:r>
          </w:p>
          <w:p w:rsidR="002D6988" w:rsidRPr="00ED489C" w:rsidRDefault="002D6988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ED489C">
              <w:rPr>
                <w:lang w:val="sk-SK"/>
              </w:rPr>
              <w:t xml:space="preserve">Popísať spôsob výpočtu rezerv </w:t>
            </w:r>
            <w:r w:rsidR="00E607F5" w:rsidRPr="00ED489C">
              <w:rPr>
                <w:lang w:val="sk-SK"/>
              </w:rPr>
              <w:t xml:space="preserve">neživotného poistenia (rezerva </w:t>
            </w:r>
            <w:r w:rsidRPr="00ED489C">
              <w:rPr>
                <w:lang w:val="sk-SK"/>
              </w:rPr>
              <w:t>na poistné plnenie a rezerv</w:t>
            </w:r>
            <w:r w:rsidR="00E607F5" w:rsidRPr="00ED489C">
              <w:rPr>
                <w:lang w:val="sk-SK"/>
              </w:rPr>
              <w:t>a</w:t>
            </w:r>
            <w:r w:rsidRPr="00ED489C">
              <w:rPr>
                <w:lang w:val="sk-SK"/>
              </w:rPr>
              <w:t xml:space="preserve"> </w:t>
            </w:r>
            <w:r w:rsidR="00E607F5" w:rsidRPr="00ED489C">
              <w:rPr>
                <w:lang w:val="sk-SK"/>
              </w:rPr>
              <w:t>na poistné) v prostredí ekonomickej súvahy</w:t>
            </w:r>
          </w:p>
          <w:p w:rsidR="009231E9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9231E9">
              <w:rPr>
                <w:lang w:val="sk-SK"/>
              </w:rPr>
              <w:t xml:space="preserve"> možné nedostatky pri oceňovaní pomocou modelu</w:t>
            </w:r>
          </w:p>
          <w:p w:rsidR="00E607F5" w:rsidRPr="009231E9" w:rsidRDefault="00E607F5" w:rsidP="00232BDC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F003F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 xml:space="preserve"> </w:t>
            </w:r>
            <w:r w:rsidR="0049216D" w:rsidRPr="006453C0">
              <w:rPr>
                <w:lang w:val="sk-SK"/>
              </w:rPr>
              <w:t>Zmierňovanie</w:t>
            </w:r>
            <w:r w:rsidR="00A06377">
              <w:rPr>
                <w:lang w:val="sk-SK"/>
              </w:rPr>
              <w:t xml:space="preserve"> (m</w:t>
            </w:r>
            <w:r w:rsidRPr="00F003F0">
              <w:rPr>
                <w:lang w:val="sk-SK"/>
              </w:rPr>
              <w:t>itigácia</w:t>
            </w:r>
            <w:r w:rsidR="00A06377">
              <w:rPr>
                <w:lang w:val="sk-SK"/>
              </w:rPr>
              <w:t>)</w:t>
            </w:r>
            <w:r w:rsidRPr="00F003F0">
              <w:rPr>
                <w:lang w:val="sk-SK"/>
              </w:rPr>
              <w:t xml:space="preserve"> rizika </w:t>
            </w:r>
          </w:p>
          <w:p w:rsidR="00FC5669" w:rsidRDefault="00FC5669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optimalizáciu rizík a spôsoby reakcie na zistenú mieru rizika</w:t>
            </w:r>
          </w:p>
          <w:p w:rsidR="00FC5669" w:rsidRDefault="00FC566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Prijatie rizika, zamietnutie rizika, transfer rizika, </w:t>
            </w:r>
            <w:r w:rsidR="00ED489C">
              <w:rPr>
                <w:lang w:val="sk-SK"/>
              </w:rPr>
              <w:t>zníženie</w:t>
            </w:r>
            <w:r>
              <w:rPr>
                <w:lang w:val="sk-SK"/>
              </w:rPr>
              <w:t xml:space="preserve"> rizika</w:t>
            </w:r>
          </w:p>
          <w:p w:rsidR="00FC5669" w:rsidRDefault="00FC566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Ako znížiť mieru rizika pomocou transferu rizika</w:t>
            </w:r>
          </w:p>
          <w:p w:rsidR="00FC5669" w:rsidRDefault="00FC5669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Ako znížiť mieru rizika bez transferu rizika</w:t>
            </w:r>
          </w:p>
          <w:p w:rsidR="00FC5669" w:rsidRDefault="009231E9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zaistenie ako spôsob </w:t>
            </w:r>
            <w:r w:rsidR="0049216D" w:rsidRPr="006453C0">
              <w:rPr>
                <w:lang w:val="sk-SK"/>
              </w:rPr>
              <w:t>zmierňovania</w:t>
            </w:r>
            <w:r>
              <w:rPr>
                <w:lang w:val="sk-SK"/>
              </w:rPr>
              <w:t xml:space="preserve"> poistného rizika</w:t>
            </w:r>
          </w:p>
          <w:p w:rsidR="009231E9" w:rsidRDefault="009231E9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metódy </w:t>
            </w:r>
            <w:r w:rsidR="0049216D" w:rsidRPr="006453C0">
              <w:rPr>
                <w:lang w:val="sk-SK"/>
              </w:rPr>
              <w:t>zmierňovania</w:t>
            </w:r>
            <w:r>
              <w:rPr>
                <w:lang w:val="sk-SK"/>
              </w:rPr>
              <w:t xml:space="preserve"> trhového rizika pomocou finančných derivátov</w:t>
            </w:r>
          </w:p>
          <w:p w:rsidR="009231E9" w:rsidRPr="009231E9" w:rsidRDefault="009231E9" w:rsidP="00232BDC">
            <w:pPr>
              <w:spacing w:after="0" w:line="240" w:lineRule="auto"/>
              <w:rPr>
                <w:lang w:val="sk-SK"/>
              </w:rPr>
            </w:pPr>
          </w:p>
          <w:p w:rsidR="00F003F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 xml:space="preserve">Manažment aktív a pasív (ALM) </w:t>
            </w:r>
          </w:p>
          <w:p w:rsidR="009C2E35" w:rsidRDefault="009C2E35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úlohu ALM v riadení trhového rizika</w:t>
            </w:r>
          </w:p>
          <w:p w:rsidR="009C2E35" w:rsidRDefault="009C2E35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 základné charakteristiky citlivosti aktív respektíve pasív na úroveň úrokovej miery</w:t>
            </w:r>
          </w:p>
          <w:p w:rsidR="009C2E35" w:rsidRDefault="009C2E35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Uviesť výpočet durácie a</w:t>
            </w:r>
            <w:r w:rsidR="00BD22F1">
              <w:rPr>
                <w:lang w:val="sk-SK"/>
              </w:rPr>
              <w:t> </w:t>
            </w:r>
            <w:r>
              <w:rPr>
                <w:lang w:val="sk-SK"/>
              </w:rPr>
              <w:t>konvexity</w:t>
            </w:r>
            <w:r w:rsidR="00BD22F1">
              <w:rPr>
                <w:lang w:val="sk-SK"/>
              </w:rPr>
              <w:t xml:space="preserve"> pre rôzne typy peňažných tokov</w:t>
            </w:r>
          </w:p>
          <w:p w:rsidR="00BD22F1" w:rsidRDefault="00BD22F1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Analyzovať vhodnosť tradičných metód pri neparalelnom posune výnosovej krivky</w:t>
            </w:r>
          </w:p>
          <w:p w:rsidR="00BD22F1" w:rsidRDefault="009C2E35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</w:t>
            </w:r>
            <w:r w:rsidR="00BD22F1">
              <w:rPr>
                <w:lang w:val="sk-SK"/>
              </w:rPr>
              <w:t xml:space="preserve">alternatívne metódy </w:t>
            </w:r>
            <w:r w:rsidR="00E420A3" w:rsidRPr="006453C0">
              <w:rPr>
                <w:lang w:val="sk-SK"/>
              </w:rPr>
              <w:t>zabezpečovania (</w:t>
            </w:r>
            <w:r w:rsidR="00BD22F1">
              <w:rPr>
                <w:lang w:val="sk-SK"/>
              </w:rPr>
              <w:t>cash flow hedging</w:t>
            </w:r>
            <w:r w:rsidR="00E420A3" w:rsidRPr="006453C0">
              <w:rPr>
                <w:lang w:val="sk-SK"/>
              </w:rPr>
              <w:t>)</w:t>
            </w:r>
            <w:r w:rsidR="00BF6777" w:rsidRPr="006453C0">
              <w:rPr>
                <w:lang w:val="sk-SK"/>
              </w:rPr>
              <w:t>,</w:t>
            </w:r>
            <w:r w:rsidR="00BD22F1">
              <w:rPr>
                <w:lang w:val="sk-SK"/>
              </w:rPr>
              <w:t xml:space="preserve"> replikačné portfólia</w:t>
            </w:r>
          </w:p>
          <w:p w:rsidR="00BD22F1" w:rsidRPr="00BD22F1" w:rsidRDefault="00BD22F1" w:rsidP="00232BDC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BD22F1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F003F0">
              <w:rPr>
                <w:lang w:val="sk-SK"/>
              </w:rPr>
              <w:t>Monitorovanie rizika a</w:t>
            </w:r>
            <w:r w:rsidR="0049216D" w:rsidRPr="006453C0">
              <w:rPr>
                <w:lang w:val="sk-SK"/>
              </w:rPr>
              <w:t> vystavenie sa</w:t>
            </w:r>
            <w:r w:rsidRPr="00F003F0">
              <w:rPr>
                <w:lang w:val="sk-SK"/>
              </w:rPr>
              <w:t xml:space="preserve"> riziku</w:t>
            </w:r>
          </w:p>
          <w:p w:rsidR="00275443" w:rsidRDefault="00275443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275443">
              <w:rPr>
                <w:lang w:val="sk-SK"/>
              </w:rPr>
              <w:t>Uv</w:t>
            </w:r>
            <w:r w:rsidR="00ED489C">
              <w:rPr>
                <w:lang w:val="sk-SK"/>
              </w:rPr>
              <w:t>i</w:t>
            </w:r>
            <w:r w:rsidRPr="00275443">
              <w:rPr>
                <w:lang w:val="sk-SK"/>
              </w:rPr>
              <w:t>e</w:t>
            </w:r>
            <w:r w:rsidR="00ED489C">
              <w:rPr>
                <w:lang w:val="sk-SK"/>
              </w:rPr>
              <w:t>sť</w:t>
            </w:r>
            <w:r>
              <w:rPr>
                <w:lang w:val="sk-SK"/>
              </w:rPr>
              <w:t xml:space="preserve"> základné ukazovatele, ktoré môžu vyjadriť zmenu veľkosti rizík uvedených v bode (b) b. i.</w:t>
            </w:r>
          </w:p>
          <w:p w:rsidR="00275443" w:rsidRDefault="00275443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</w:t>
            </w:r>
            <w:r w:rsidR="00ED489C">
              <w:rPr>
                <w:lang w:val="sk-SK"/>
              </w:rPr>
              <w:t>sať</w:t>
            </w:r>
            <w:r>
              <w:rPr>
                <w:lang w:val="sk-SK"/>
              </w:rPr>
              <w:t xml:space="preserve"> použitie štandardného alebo interného modelu </w:t>
            </w:r>
            <w:r w:rsidR="0049216D" w:rsidRPr="006453C0">
              <w:rPr>
                <w:lang w:val="sk-SK"/>
              </w:rPr>
              <w:t xml:space="preserve">podľa </w:t>
            </w:r>
            <w:r>
              <w:rPr>
                <w:lang w:val="sk-SK"/>
              </w:rPr>
              <w:t>Solventnosti II ako nástroja na monitorovanie úrovne rizika</w:t>
            </w:r>
          </w:p>
          <w:p w:rsidR="00275443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275443">
              <w:rPr>
                <w:lang w:val="sk-SK"/>
              </w:rPr>
              <w:t xml:space="preserve"> rámcové dokumenty spoločnosti v súvislosti s </w:t>
            </w:r>
            <w:r w:rsidR="00E420A3" w:rsidRPr="006453C0">
              <w:rPr>
                <w:lang w:val="sk-SK"/>
              </w:rPr>
              <w:t>akceptáciou rizík</w:t>
            </w:r>
            <w:r w:rsidR="00275443">
              <w:rPr>
                <w:lang w:val="sk-SK"/>
              </w:rPr>
              <w:t xml:space="preserve"> – rizikový apetít</w:t>
            </w:r>
          </w:p>
          <w:p w:rsidR="00275443" w:rsidRPr="00275443" w:rsidRDefault="00275443" w:rsidP="00232BDC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1D6830" w:rsidRPr="001D6830" w:rsidRDefault="00F003F0" w:rsidP="00232BDC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275443">
              <w:rPr>
                <w:lang w:val="sk-SK"/>
              </w:rPr>
              <w:t>S</w:t>
            </w:r>
            <w:r w:rsidRPr="00F003F0">
              <w:rPr>
                <w:lang w:val="sk-SK"/>
              </w:rPr>
              <w:t>olventnosť a ziskovosť podniku a riadenie kapitálu</w:t>
            </w:r>
          </w:p>
          <w:p w:rsidR="001D6830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1D6830">
              <w:rPr>
                <w:lang w:val="sk-SK"/>
              </w:rPr>
              <w:t xml:space="preserve"> výpočet požadovanej a skutočnej miery solventnosti a miery solventnosti</w:t>
            </w:r>
          </w:p>
          <w:p w:rsidR="001D6830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1D6830">
              <w:rPr>
                <w:lang w:val="sk-SK"/>
              </w:rPr>
              <w:t xml:space="preserve"> vzťah medzi rizikom a kapitálom</w:t>
            </w:r>
          </w:p>
          <w:p w:rsidR="001D6830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1D6830">
              <w:rPr>
                <w:lang w:val="sk-SK"/>
              </w:rPr>
              <w:t xml:space="preserve"> dopad jednotlivých rozhodnutí poisťovne na </w:t>
            </w:r>
            <w:r w:rsidR="0049216D" w:rsidRPr="006453C0">
              <w:rPr>
                <w:lang w:val="sk-SK"/>
              </w:rPr>
              <w:t>požadovanú</w:t>
            </w:r>
            <w:r w:rsidR="00BF6777" w:rsidRPr="006453C0">
              <w:rPr>
                <w:lang w:val="sk-SK"/>
              </w:rPr>
              <w:t xml:space="preserve"> </w:t>
            </w:r>
            <w:r w:rsidR="001D6830">
              <w:rPr>
                <w:lang w:val="sk-SK"/>
              </w:rPr>
              <w:t>mieru solventnosti</w:t>
            </w:r>
          </w:p>
          <w:p w:rsidR="001D6830" w:rsidRDefault="001D6830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Investičné rozhodnutia</w:t>
            </w:r>
          </w:p>
          <w:p w:rsidR="001D6830" w:rsidRDefault="001D6830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lastRenderedPageBreak/>
              <w:t xml:space="preserve">Rozhodnutia ohľadne upísania nových rizík  </w:t>
            </w:r>
          </w:p>
          <w:p w:rsidR="001D6830" w:rsidRDefault="001D6830" w:rsidP="00232BDC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Nové produkty</w:t>
            </w:r>
          </w:p>
          <w:p w:rsidR="001D6830" w:rsidRDefault="001D6830" w:rsidP="00232BDC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Vplyv diverzifikácie</w:t>
            </w:r>
          </w:p>
          <w:p w:rsidR="001D6830" w:rsidRDefault="001D6830" w:rsidP="00232BDC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Zaistenie a iné techniky</w:t>
            </w:r>
            <w:r w:rsidR="0049216D" w:rsidRPr="006453C0">
              <w:rPr>
                <w:lang w:val="sk-SK"/>
              </w:rPr>
              <w:t xml:space="preserve"> zmierňovania rizík</w:t>
            </w:r>
          </w:p>
          <w:p w:rsidR="001D6830" w:rsidRDefault="00ED489C" w:rsidP="00232BDC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1D6830">
              <w:rPr>
                <w:lang w:val="sk-SK"/>
              </w:rPr>
              <w:t xml:space="preserve"> pojmy návratnosť kapitálu</w:t>
            </w:r>
            <w:r w:rsidR="00BF6777" w:rsidRPr="006453C0">
              <w:rPr>
                <w:lang w:val="sk-SK"/>
              </w:rPr>
              <w:t>,</w:t>
            </w:r>
            <w:r w:rsidR="00227069" w:rsidRPr="00301BB8">
              <w:rPr>
                <w:lang w:val="sk-SK"/>
              </w:rPr>
              <w:t xml:space="preserve"> (return on equity, ROE)</w:t>
            </w:r>
            <w:r w:rsidR="001D6830" w:rsidRPr="00301BB8">
              <w:rPr>
                <w:lang w:val="sk-SK"/>
              </w:rPr>
              <w:t>,</w:t>
            </w:r>
            <w:r w:rsidR="001D6830">
              <w:rPr>
                <w:lang w:val="sk-SK"/>
              </w:rPr>
              <w:t xml:space="preserve"> </w:t>
            </w:r>
            <w:r w:rsidR="00275443">
              <w:rPr>
                <w:lang w:val="sk-SK"/>
              </w:rPr>
              <w:t xml:space="preserve">návratnosť kapitálu </w:t>
            </w:r>
            <w:r w:rsidR="006453C0" w:rsidRPr="006453C0">
              <w:rPr>
                <w:lang w:val="sk-SK"/>
              </w:rPr>
              <w:t>upraveného vzhľadom na riziká</w:t>
            </w:r>
            <w:r w:rsidR="00A06377">
              <w:rPr>
                <w:lang w:val="sk-SK"/>
              </w:rPr>
              <w:t xml:space="preserve"> </w:t>
            </w:r>
            <w:r w:rsidR="00275443">
              <w:rPr>
                <w:lang w:val="sk-SK"/>
              </w:rPr>
              <w:t>(</w:t>
            </w:r>
            <w:r w:rsidR="00275443" w:rsidRPr="00301BB8">
              <w:rPr>
                <w:lang w:val="sk-SK"/>
              </w:rPr>
              <w:t>return on risk adjusted capita</w:t>
            </w:r>
            <w:r w:rsidR="00275443">
              <w:rPr>
                <w:lang w:val="sk-SK"/>
              </w:rPr>
              <w:t>l</w:t>
            </w:r>
            <w:r w:rsidR="00227069" w:rsidRPr="00301BB8">
              <w:rPr>
                <w:lang w:val="sk-SK"/>
              </w:rPr>
              <w:t>, RORAC</w:t>
            </w:r>
            <w:r w:rsidR="00275443">
              <w:rPr>
                <w:lang w:val="sk-SK"/>
              </w:rPr>
              <w:t>)</w:t>
            </w:r>
          </w:p>
          <w:p w:rsidR="00E66436" w:rsidRPr="00E607F5" w:rsidRDefault="00E66436" w:rsidP="00232BDC">
            <w:pPr>
              <w:spacing w:after="0" w:line="240" w:lineRule="auto"/>
              <w:rPr>
                <w:lang w:val="sk-SK"/>
              </w:rPr>
            </w:pPr>
          </w:p>
        </w:tc>
      </w:tr>
      <w:tr w:rsidR="00F178FE">
        <w:tc>
          <w:tcPr>
            <w:tcW w:w="9576" w:type="dxa"/>
          </w:tcPr>
          <w:p w:rsidR="00F178FE" w:rsidRDefault="00E66436" w:rsidP="00232BDC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 w:rsidP="00232BDC">
            <w:pPr>
              <w:spacing w:after="0" w:line="240" w:lineRule="auto"/>
              <w:rPr>
                <w:i/>
                <w:lang w:val="sk-SK"/>
              </w:rPr>
            </w:pPr>
          </w:p>
        </w:tc>
      </w:tr>
      <w:tr w:rsidR="00F178FE">
        <w:tc>
          <w:tcPr>
            <w:tcW w:w="9576" w:type="dxa"/>
            <w:tcBorders>
              <w:bottom w:val="single" w:sz="4" w:space="0" w:color="D9D9D9"/>
            </w:tcBorders>
          </w:tcPr>
          <w:p w:rsidR="00F178FE" w:rsidRPr="00E66436" w:rsidRDefault="00E66436" w:rsidP="00232BDC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 w:rsidP="00232BDC">
            <w:pPr>
              <w:spacing w:after="0" w:line="240" w:lineRule="auto"/>
              <w:rPr>
                <w:i/>
                <w:lang w:val="sk-SK"/>
              </w:rPr>
            </w:pPr>
          </w:p>
        </w:tc>
      </w:tr>
    </w:tbl>
    <w:p w:rsidR="00CD3E2A" w:rsidRDefault="00CD3E2A"/>
    <w:sectPr w:rsidR="00CD3E2A" w:rsidSect="00CC3EBC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AE1" w:rsidRDefault="00A37AE1" w:rsidP="00F178FE">
      <w:pPr>
        <w:spacing w:after="0" w:line="240" w:lineRule="auto"/>
      </w:pPr>
      <w:r>
        <w:separator/>
      </w:r>
    </w:p>
  </w:endnote>
  <w:endnote w:type="continuationSeparator" w:id="0">
    <w:p w:rsidR="00A37AE1" w:rsidRDefault="00A37AE1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ED3CB7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470C1C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470C1C">
      <w:rPr>
        <w:lang w:val="sk-SK"/>
      </w:rPr>
      <w:fldChar w:fldCharType="separate"/>
    </w:r>
    <w:r w:rsidR="001E41E6">
      <w:rPr>
        <w:noProof/>
        <w:lang w:val="sk-SK"/>
      </w:rPr>
      <w:t>3</w:t>
    </w:r>
    <w:r w:rsidR="00470C1C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1E41E6" w:rsidRPr="001E41E6">
        <w:rPr>
          <w:noProof/>
          <w:lang w:val="sk-SK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AE1" w:rsidRDefault="00A37AE1" w:rsidP="00F178FE">
      <w:pPr>
        <w:spacing w:after="0" w:line="240" w:lineRule="auto"/>
      </w:pPr>
      <w:r>
        <w:separator/>
      </w:r>
    </w:p>
  </w:footnote>
  <w:footnote w:type="continuationSeparator" w:id="0">
    <w:p w:rsidR="00A37AE1" w:rsidRDefault="00A37AE1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A324D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5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0" t="0" r="0" b="9525"/>
          <wp:docPr id="2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0C1C" w:rsidRPr="00470C1C">
      <w:rPr>
        <w:noProof/>
        <w:lang w:val="sk-SK" w:eastAsia="zh-CN"/>
      </w:rPr>
      <w:pict>
        <v:rect id="Rectangle 2" o:spid="_x0000_s4098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CIELfu0gIAAK4FAAAOAAAAAAAAAAAAAAAAAC4CAABkcnMv&#10;ZTJvRG9jLnhtbFBLAQItABQABgAIAAAAIQAyEjYG4gAAAAwBAAAPAAAAAAAAAAAAAAAAACwFAABk&#10;cnMvZG93bnJldi54bWxQSwUGAAAAAAQABADzAAAAOwYAAAAA&#10;" fillcolor="#4f81bd" stroked="f" strokecolor="#f2f2f2" strokeweight="3pt">
          <v:shadow on="t" color="#243f60" opacity=".5" offset="1pt"/>
          <v:textbox>
            <w:txbxContent>
              <w:p w:rsidR="00BF6777" w:rsidRPr="00232BDC" w:rsidRDefault="00BF6777">
                <w:pPr>
                  <w:rPr>
                    <w:color w:val="FFFFFF"/>
                    <w:lang w:val="sk-SK"/>
                  </w:rPr>
                </w:pPr>
                <w:r w:rsidRPr="00232BDC">
                  <w:rPr>
                    <w:color w:val="FFFFFF"/>
                    <w:lang w:val="sk-SK"/>
                  </w:rPr>
                  <w:t>Slovenská spoločnosť aktuárov</w:t>
                </w:r>
              </w:p>
              <w:p w:rsidR="00BF6777" w:rsidRPr="00232BDC" w:rsidRDefault="00BF6777">
                <w:pPr>
                  <w:rPr>
                    <w:b/>
                    <w:color w:val="FFFFFF"/>
                    <w:lang w:val="sk-SK"/>
                  </w:rPr>
                </w:pPr>
                <w:r w:rsidRPr="00232BDC">
                  <w:rPr>
                    <w:b/>
                    <w:color w:val="FFFFFF"/>
                    <w:lang w:val="sk-SK"/>
                  </w:rPr>
                  <w:t>Predmet C1 – Podnikový manažment firmy (ERM)</w:t>
                </w:r>
              </w:p>
            </w:txbxContent>
          </v:textbox>
        </v:rect>
      </w:pict>
    </w:r>
    <w:r w:rsidR="00F178FE"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78FE"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70C1C" w:rsidRPr="00470C1C">
      <w:rPr>
        <w:noProof/>
        <w:lang w:val="sk-SK" w:eastAsia="zh-CN"/>
      </w:rPr>
      <w:pict>
        <v:rect id="Rectangle 1" o:spid="_x0000_s4097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ins w:id="1" w:author="Jozko" w:date="2015-01-11T20:53:00Z"/>
                    <w:color w:val="FFFFFF" w:themeColor="background1"/>
                    <w:lang w:val="sk-SK"/>
                  </w:rPr>
                </w:pPr>
                <w:ins w:id="2" w:author="Jozko" w:date="2015-01-11T20:53:00Z">
                  <w:r w:rsidRPr="00F178FE">
                    <w:rPr>
                      <w:color w:val="FFFFFF" w:themeColor="background1"/>
                      <w:lang w:val="sk-SK"/>
                    </w:rPr>
                    <w:t>Slovenská spoločnosť aktuárov</w:t>
                  </w:r>
                </w:ins>
              </w:p>
              <w:p w:rsidR="00F178FE" w:rsidRPr="00F178FE" w:rsidRDefault="00F003F0">
                <w:pPr>
                  <w:rPr>
                    <w:ins w:id="3" w:author="Jozko" w:date="2015-01-11T20:53:00Z"/>
                    <w:b/>
                    <w:color w:val="FFFFFF" w:themeColor="background1"/>
                    <w:lang w:val="sk-SK"/>
                  </w:rPr>
                </w:pPr>
                <w:ins w:id="4" w:author="Jozko" w:date="2015-01-11T20:53:00Z">
                  <w:r>
                    <w:rPr>
                      <w:b/>
                      <w:color w:val="FFFFFF" w:themeColor="background1"/>
                      <w:lang w:val="sk-SK"/>
                    </w:rPr>
                    <w:t xml:space="preserve">Predmet </w:t>
                  </w:r>
                  <w:r w:rsidRPr="00F003F0">
                    <w:rPr>
                      <w:b/>
                      <w:color w:val="FFFFFF" w:themeColor="background1"/>
                      <w:lang w:val="sk-SK"/>
                    </w:rPr>
                    <w:t>C1 – Podnikový manažment firmy (ERM)</w:t>
                  </w:r>
                </w:ins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178FE"/>
    <w:rsid w:val="00020E26"/>
    <w:rsid w:val="000217CE"/>
    <w:rsid w:val="00087EEB"/>
    <w:rsid w:val="000F66DB"/>
    <w:rsid w:val="001B67A2"/>
    <w:rsid w:val="001D6830"/>
    <w:rsid w:val="001E41E6"/>
    <w:rsid w:val="001E7ABB"/>
    <w:rsid w:val="0020319B"/>
    <w:rsid w:val="00227069"/>
    <w:rsid w:val="00231709"/>
    <w:rsid w:val="00232BDC"/>
    <w:rsid w:val="00255E67"/>
    <w:rsid w:val="00275443"/>
    <w:rsid w:val="002C0C3F"/>
    <w:rsid w:val="002D6988"/>
    <w:rsid w:val="002F6B11"/>
    <w:rsid w:val="00301BB8"/>
    <w:rsid w:val="003106CE"/>
    <w:rsid w:val="0037040A"/>
    <w:rsid w:val="00440C7C"/>
    <w:rsid w:val="00470C1C"/>
    <w:rsid w:val="0049216D"/>
    <w:rsid w:val="004D109A"/>
    <w:rsid w:val="005071B2"/>
    <w:rsid w:val="005D20FC"/>
    <w:rsid w:val="005E3ADB"/>
    <w:rsid w:val="006453C0"/>
    <w:rsid w:val="00666D75"/>
    <w:rsid w:val="006C2E18"/>
    <w:rsid w:val="006F5918"/>
    <w:rsid w:val="00706533"/>
    <w:rsid w:val="00706AB7"/>
    <w:rsid w:val="0076568D"/>
    <w:rsid w:val="007C7335"/>
    <w:rsid w:val="007F2B7D"/>
    <w:rsid w:val="008163CB"/>
    <w:rsid w:val="008D3DCB"/>
    <w:rsid w:val="008E21A5"/>
    <w:rsid w:val="008F4C98"/>
    <w:rsid w:val="009231E9"/>
    <w:rsid w:val="009701E7"/>
    <w:rsid w:val="009C2E35"/>
    <w:rsid w:val="00A06377"/>
    <w:rsid w:val="00A12C32"/>
    <w:rsid w:val="00A2591E"/>
    <w:rsid w:val="00A324DC"/>
    <w:rsid w:val="00A37AE1"/>
    <w:rsid w:val="00A474CD"/>
    <w:rsid w:val="00A947B7"/>
    <w:rsid w:val="00A97AE2"/>
    <w:rsid w:val="00AF055C"/>
    <w:rsid w:val="00B02485"/>
    <w:rsid w:val="00B03F43"/>
    <w:rsid w:val="00B26F51"/>
    <w:rsid w:val="00B348F0"/>
    <w:rsid w:val="00B766AF"/>
    <w:rsid w:val="00B94B41"/>
    <w:rsid w:val="00BD22F1"/>
    <w:rsid w:val="00BF6777"/>
    <w:rsid w:val="00CC3EBC"/>
    <w:rsid w:val="00CD3E2A"/>
    <w:rsid w:val="00D04B3A"/>
    <w:rsid w:val="00D11B75"/>
    <w:rsid w:val="00D81FE1"/>
    <w:rsid w:val="00D9008A"/>
    <w:rsid w:val="00DA51B2"/>
    <w:rsid w:val="00DC0C71"/>
    <w:rsid w:val="00DE4B20"/>
    <w:rsid w:val="00DE715A"/>
    <w:rsid w:val="00DF7ECD"/>
    <w:rsid w:val="00E420A3"/>
    <w:rsid w:val="00E607F5"/>
    <w:rsid w:val="00E66436"/>
    <w:rsid w:val="00EA2D9E"/>
    <w:rsid w:val="00ED3CB7"/>
    <w:rsid w:val="00ED489C"/>
    <w:rsid w:val="00EE1D4C"/>
    <w:rsid w:val="00F003F0"/>
    <w:rsid w:val="00F178FE"/>
    <w:rsid w:val="00FC5669"/>
    <w:rsid w:val="00FD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37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0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A0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76568D"/>
    <w:rPr>
      <w:color w:val="800080" w:themeColor="followedHyperlink"/>
      <w:u w:val="single"/>
    </w:rPr>
  </w:style>
  <w:style w:type="paragraph" w:customStyle="1" w:styleId="Default">
    <w:name w:val="Default"/>
    <w:rsid w:val="00F00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A06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37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0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A06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76568D"/>
    <w:rPr>
      <w:color w:val="800080" w:themeColor="followedHyperlink"/>
      <w:u w:val="single"/>
    </w:rPr>
  </w:style>
  <w:style w:type="paragraph" w:customStyle="1" w:styleId="Default">
    <w:name w:val="Default"/>
    <w:rsid w:val="00F00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A063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ktuar.sk/?lg=1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aktuar.sk/?lg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938C5-E6DC-4359-91DD-5206D76629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A95CB7-3130-41CF-9A6B-4538DC50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5</cp:revision>
  <dcterms:created xsi:type="dcterms:W3CDTF">2015-02-02T18:00:00Z</dcterms:created>
  <dcterms:modified xsi:type="dcterms:W3CDTF">2015-03-09T20:13:00Z</dcterms:modified>
</cp:coreProperties>
</file>